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3B3AFB36" wp14:editId="60C4159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B308CD" w:rsidRPr="00D6097D" w:rsidRDefault="00B308CD" w:rsidP="00B308CD">
      <w:pPr>
        <w:spacing w:after="0" w:line="240" w:lineRule="auto"/>
        <w:jc w:val="center"/>
        <w:rPr>
          <w:rFonts w:ascii="Times New Roman" w:hAnsi="Times New Roman" w:cs="Times New Roman"/>
          <w:b/>
          <w:sz w:val="28"/>
          <w:szCs w:val="28"/>
        </w:rPr>
      </w:pPr>
      <w:r w:rsidRPr="00D6097D">
        <w:rPr>
          <w:rFonts w:ascii="Times New Roman" w:hAnsi="Times New Roman" w:cs="Times New Roman"/>
          <w:b/>
          <w:sz w:val="28"/>
          <w:szCs w:val="28"/>
        </w:rPr>
        <w:t>МУНИЦИПАЛЬНОЕ КАЗЁННОЕ УЧРЕЖДЕНИЕ</w:t>
      </w:r>
    </w:p>
    <w:p w:rsidR="00B308CD" w:rsidRPr="00D6097D" w:rsidRDefault="00B308CD" w:rsidP="00B308CD">
      <w:pPr>
        <w:pBdr>
          <w:bottom w:val="single" w:sz="12" w:space="0" w:color="auto"/>
        </w:pBd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АДМИНИСТРАЦИЯ МУНИЦИПАЛЬНОГО ОБРАЗОВАНИЯ «БИЧУРСКИЙ РАЙОН»</w:t>
      </w:r>
      <w:r w:rsidR="00AB421A">
        <w:rPr>
          <w:rFonts w:ascii="Times New Roman" w:hAnsi="Times New Roman" w:cs="Times New Roman"/>
          <w:b/>
          <w:bCs/>
          <w:color w:val="000000"/>
          <w:sz w:val="28"/>
          <w:szCs w:val="28"/>
        </w:rPr>
        <w:t xml:space="preserve"> РЕСПУБЛИКИ БУРЯТИЯ</w:t>
      </w: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Pr="00D6097D" w:rsidRDefault="000A143E"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от «</w:t>
      </w:r>
      <w:r w:rsidR="00154ACF">
        <w:rPr>
          <w:rFonts w:ascii="Times New Roman" w:eastAsia="Times New Roman" w:hAnsi="Times New Roman" w:cs="Times New Roman"/>
          <w:bCs/>
          <w:sz w:val="28"/>
          <w:szCs w:val="28"/>
          <w:lang w:eastAsia="ru-RU"/>
        </w:rPr>
        <w:t>06</w:t>
      </w:r>
      <w:r w:rsidR="008233B2" w:rsidRPr="00D6097D">
        <w:rPr>
          <w:rFonts w:ascii="Times New Roman" w:eastAsia="Times New Roman" w:hAnsi="Times New Roman" w:cs="Times New Roman"/>
          <w:bCs/>
          <w:sz w:val="28"/>
          <w:szCs w:val="28"/>
          <w:lang w:eastAsia="ru-RU"/>
        </w:rPr>
        <w:t xml:space="preserve">» </w:t>
      </w:r>
      <w:r w:rsidR="00154ACF">
        <w:rPr>
          <w:rFonts w:ascii="Times New Roman" w:eastAsia="Times New Roman" w:hAnsi="Times New Roman" w:cs="Times New Roman"/>
          <w:bCs/>
          <w:sz w:val="28"/>
          <w:szCs w:val="28"/>
          <w:lang w:eastAsia="ru-RU"/>
        </w:rPr>
        <w:t>октября</w:t>
      </w:r>
      <w:r w:rsidR="00E62C61">
        <w:rPr>
          <w:rFonts w:ascii="Times New Roman" w:eastAsia="Times New Roman" w:hAnsi="Times New Roman" w:cs="Times New Roman"/>
          <w:bCs/>
          <w:sz w:val="28"/>
          <w:szCs w:val="28"/>
          <w:lang w:eastAsia="ru-RU"/>
        </w:rPr>
        <w:t xml:space="preserve"> </w:t>
      </w:r>
      <w:r w:rsidR="00D6097D" w:rsidRPr="00D6097D">
        <w:rPr>
          <w:rFonts w:ascii="Times New Roman" w:eastAsia="Times New Roman" w:hAnsi="Times New Roman" w:cs="Times New Roman"/>
          <w:bCs/>
          <w:sz w:val="28"/>
          <w:szCs w:val="28"/>
          <w:lang w:eastAsia="ru-RU"/>
        </w:rPr>
        <w:t>202</w:t>
      </w:r>
      <w:r w:rsidR="009A1D83">
        <w:rPr>
          <w:rFonts w:ascii="Times New Roman" w:eastAsia="Times New Roman" w:hAnsi="Times New Roman" w:cs="Times New Roman"/>
          <w:bCs/>
          <w:sz w:val="28"/>
          <w:szCs w:val="28"/>
          <w:lang w:eastAsia="ru-RU"/>
        </w:rPr>
        <w:t>1</w:t>
      </w:r>
      <w:r w:rsidR="00415D0F" w:rsidRPr="00D6097D">
        <w:rPr>
          <w:rFonts w:ascii="Times New Roman" w:eastAsia="Times New Roman" w:hAnsi="Times New Roman" w:cs="Times New Roman"/>
          <w:bCs/>
          <w:sz w:val="28"/>
          <w:szCs w:val="28"/>
          <w:lang w:eastAsia="ru-RU"/>
        </w:rPr>
        <w:t xml:space="preserve"> г.             </w:t>
      </w:r>
      <w:r w:rsidR="00415D0F" w:rsidRPr="00D6097D">
        <w:rPr>
          <w:rFonts w:ascii="Times New Roman" w:eastAsia="Times New Roman" w:hAnsi="Times New Roman" w:cs="Times New Roman"/>
          <w:bCs/>
          <w:sz w:val="28"/>
          <w:szCs w:val="28"/>
          <w:lang w:eastAsia="ru-RU"/>
        </w:rPr>
        <w:tab/>
      </w:r>
      <w:r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p>
    <w:p w:rsidR="00415D0F" w:rsidRPr="00D6097D" w:rsidRDefault="00076103" w:rsidP="00076103">
      <w:pPr>
        <w:keepNext/>
        <w:spacing w:before="240" w:after="6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 xml:space="preserve">  </w:t>
      </w:r>
      <w:proofErr w:type="gramStart"/>
      <w:r w:rsidR="00415D0F" w:rsidRPr="00D6097D">
        <w:rPr>
          <w:rFonts w:ascii="Times New Roman" w:eastAsia="Times New Roman" w:hAnsi="Times New Roman" w:cs="Times New Roman"/>
          <w:bCs/>
          <w:sz w:val="28"/>
          <w:szCs w:val="28"/>
          <w:lang w:eastAsia="ru-RU"/>
        </w:rPr>
        <w:t>с</w:t>
      </w:r>
      <w:proofErr w:type="gramEnd"/>
      <w:r w:rsidR="00415D0F"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Бичура</w:t>
      </w: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МКУ Администрация МО «Бичурский район» №</w:t>
      </w:r>
      <w:r w:rsidRPr="00076103">
        <w:rPr>
          <w:rFonts w:ascii="Times New Roman" w:eastAsia="Times New Roman" w:hAnsi="Times New Roman" w:cs="Times New Roman"/>
          <w:b/>
          <w:bCs/>
          <w:noProof/>
          <w:sz w:val="28"/>
          <w:szCs w:val="28"/>
          <w:lang w:eastAsia="ru-RU"/>
        </w:rPr>
        <w:t>43 от 29.12.2017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«Би</w:t>
      </w:r>
      <w:r w:rsidR="00FF40F1" w:rsidRPr="00076103">
        <w:rPr>
          <w:rFonts w:ascii="Times New Roman" w:eastAsia="Times New Roman" w:hAnsi="Times New Roman" w:cs="Times New Roman"/>
          <w:b/>
          <w:bCs/>
          <w:sz w:val="28"/>
          <w:szCs w:val="28"/>
          <w:lang w:eastAsia="ru-RU"/>
        </w:rPr>
        <w:t>чурский район» на 2018-202</w:t>
      </w:r>
      <w:r w:rsidR="00DC3D30">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p>
    <w:p w:rsidR="00727CC2" w:rsidRDefault="00427172" w:rsidP="0013224D">
      <w:pPr>
        <w:pStyle w:val="ab"/>
        <w:ind w:left="2" w:firstLine="707"/>
        <w:jc w:val="both"/>
        <w:rPr>
          <w:b/>
          <w:szCs w:val="28"/>
        </w:rPr>
      </w:pPr>
      <w:proofErr w:type="gramStart"/>
      <w:r w:rsidRPr="00076103">
        <w:rPr>
          <w:szCs w:val="28"/>
        </w:rPr>
        <w:t>В соответствии с</w:t>
      </w:r>
      <w:r w:rsidR="00665A87" w:rsidRPr="00076103">
        <w:rPr>
          <w:szCs w:val="28"/>
        </w:rPr>
        <w:t xml:space="preserve"> П</w:t>
      </w:r>
      <w:r w:rsidR="00EF4302" w:rsidRPr="00076103">
        <w:rPr>
          <w:szCs w:val="28"/>
        </w:rPr>
        <w:t xml:space="preserve">равилами предоставления и распределения субсидий из федерального бюджета бюджетам субъектов Российской Федерации </w:t>
      </w:r>
      <w:r w:rsidR="00F50599">
        <w:rPr>
          <w:szCs w:val="28"/>
        </w:rPr>
        <w:t xml:space="preserve">на </w:t>
      </w:r>
      <w:r w:rsidR="00EF4302" w:rsidRPr="00076103">
        <w:rPr>
          <w:szCs w:val="28"/>
        </w:rPr>
        <w:t>поддержку государственных программ субъектов Российской Федерации муниципальных программ формирования современной городской среды, утвержденными постановлением Правительства Российской Федерации от 10.02.2017 № 169</w:t>
      </w:r>
      <w:r w:rsidR="00665A87" w:rsidRPr="00076103">
        <w:rPr>
          <w:szCs w:val="28"/>
        </w:rPr>
        <w:t>,</w:t>
      </w:r>
      <w:r w:rsidR="00C03E97" w:rsidRPr="00076103">
        <w:rPr>
          <w:szCs w:val="28"/>
        </w:rPr>
        <w:t xml:space="preserve"> Постановлением Правительства Республики Бурятия </w:t>
      </w:r>
      <w:r w:rsidR="00443826" w:rsidRPr="00076103">
        <w:rPr>
          <w:szCs w:val="28"/>
        </w:rPr>
        <w:t xml:space="preserve">от 25.10.2017 года </w:t>
      </w:r>
      <w:r w:rsidR="00C03E97" w:rsidRPr="00076103">
        <w:rPr>
          <w:szCs w:val="28"/>
        </w:rPr>
        <w:t xml:space="preserve">№ 516 </w:t>
      </w:r>
      <w:r w:rsidR="00443826">
        <w:rPr>
          <w:szCs w:val="28"/>
        </w:rPr>
        <w:t>«</w:t>
      </w:r>
      <w:r w:rsidR="00C03E97" w:rsidRPr="00076103">
        <w:rPr>
          <w:szCs w:val="28"/>
        </w:rPr>
        <w:t>Об утверждении Государственной программы Республики Бурятия «Формирование комфортной городской среды на 2018 - 2022 годы»</w:t>
      </w:r>
      <w:r w:rsidR="00986576" w:rsidRPr="00076103">
        <w:rPr>
          <w:szCs w:val="28"/>
        </w:rPr>
        <w:t>,</w:t>
      </w:r>
      <w:r w:rsidR="00C03E97" w:rsidRPr="00076103">
        <w:rPr>
          <w:szCs w:val="28"/>
        </w:rPr>
        <w:t xml:space="preserve"> </w:t>
      </w:r>
      <w:r w:rsidR="00DC3D30">
        <w:rPr>
          <w:szCs w:val="28"/>
        </w:rPr>
        <w:t>с решение</w:t>
      </w:r>
      <w:r w:rsidR="00EF0D80" w:rsidRPr="00EF0D80">
        <w:rPr>
          <w:szCs w:val="28"/>
        </w:rPr>
        <w:t>м</w:t>
      </w:r>
      <w:proofErr w:type="gramEnd"/>
      <w:r w:rsidR="00EF0D80" w:rsidRPr="00EF0D80">
        <w:rPr>
          <w:szCs w:val="28"/>
        </w:rPr>
        <w:t xml:space="preserve"> </w:t>
      </w:r>
      <w:proofErr w:type="gramStart"/>
      <w:r w:rsidR="00AB421A" w:rsidRPr="00AB421A">
        <w:rPr>
          <w:szCs w:val="28"/>
        </w:rPr>
        <w:t xml:space="preserve">Совета депутатов муниципального образования «Бичурский район» от 30.07.2021 г. № 305 «О внесении изменений в решение Совета депутатов муниципального образования «Бичурский                                                                                                                                                                                                                                                                                                                                                                                                                                             </w:t>
      </w:r>
      <w:r w:rsidR="00AB421A">
        <w:rPr>
          <w:szCs w:val="28"/>
        </w:rPr>
        <w:t>р</w:t>
      </w:r>
      <w:r w:rsidR="00AB421A" w:rsidRPr="00AB421A">
        <w:rPr>
          <w:szCs w:val="28"/>
        </w:rPr>
        <w:t>айон» от 29.12.2020 г. № 234 «О бюджете муниципального образования «Бичурский район» на 2021 год и плановый период 2022 и 2023 годов»,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w:t>
      </w:r>
      <w:proofErr w:type="gramEnd"/>
      <w:r w:rsidR="00AB421A" w:rsidRPr="00AB421A">
        <w:rPr>
          <w:szCs w:val="28"/>
        </w:rPr>
        <w:t xml:space="preserve">,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00727CC2" w:rsidRPr="00727CC2">
        <w:rPr>
          <w:szCs w:val="28"/>
        </w:rPr>
        <w:t xml:space="preserve">Муниципальное казенное учреждение  Администрация муниципального образования «Бичурский район» Республики Бурятия  </w:t>
      </w:r>
      <w:r w:rsidR="00727CC2" w:rsidRPr="00727CC2">
        <w:rPr>
          <w:b/>
          <w:szCs w:val="28"/>
        </w:rPr>
        <w:t>постановляет:</w:t>
      </w:r>
    </w:p>
    <w:p w:rsidR="00415D0F" w:rsidRPr="00076103" w:rsidRDefault="005F5B7E" w:rsidP="0013224D">
      <w:pPr>
        <w:pStyle w:val="ab"/>
        <w:ind w:firstLine="709"/>
        <w:jc w:val="both"/>
        <w:rPr>
          <w:szCs w:val="28"/>
        </w:rPr>
      </w:pPr>
      <w:r>
        <w:rPr>
          <w:szCs w:val="28"/>
        </w:rPr>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Муниципального образования «Бичурский район» от 29.12.2017 года</w:t>
      </w:r>
      <w:r w:rsidR="00443826">
        <w:rPr>
          <w:szCs w:val="28"/>
        </w:rPr>
        <w:t xml:space="preserve"> </w:t>
      </w:r>
      <w:r w:rsidR="00727CC2" w:rsidRPr="00727CC2">
        <w:rPr>
          <w:szCs w:val="28"/>
        </w:rPr>
        <w:t xml:space="preserve">№43 «Об утверждении </w:t>
      </w:r>
      <w:r w:rsidR="00727CC2" w:rsidRPr="00727CC2">
        <w:rPr>
          <w:szCs w:val="28"/>
        </w:rPr>
        <w:lastRenderedPageBreak/>
        <w:t>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5311C6">
        <w:rPr>
          <w:szCs w:val="28"/>
        </w:rPr>
        <w:t xml:space="preserve">) </w:t>
      </w:r>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Опубликовать настоящее постановление на информационном стенде Муниципального казенного учреждения Администрация муниципального образования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 момента его подписания.</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154ACF" w:rsidRDefault="00154ACF" w:rsidP="00415D0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руководителя МКУ Администрация </w:t>
      </w:r>
    </w:p>
    <w:p w:rsidR="00415D0F" w:rsidRPr="00443826" w:rsidRDefault="00154ACF"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МО «Бичурский район»                                                              М.П. Савельева</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E02C8D" w:rsidRDefault="00E02C8D" w:rsidP="00415D0F">
      <w:pPr>
        <w:autoSpaceDE w:val="0"/>
        <w:autoSpaceDN w:val="0"/>
        <w:adjustRightInd w:val="0"/>
        <w:spacing w:after="0" w:line="240" w:lineRule="auto"/>
        <w:ind w:left="6096"/>
        <w:jc w:val="right"/>
        <w:rPr>
          <w:rFonts w:ascii="Times New Roman" w:hAnsi="Times New Roman"/>
          <w:b/>
          <w:bCs/>
          <w:sz w:val="24"/>
          <w:szCs w:val="24"/>
        </w:rPr>
      </w:pPr>
    </w:p>
    <w:p w:rsidR="00323405" w:rsidRDefault="0032340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сектором строительства и ЖКХ </w:t>
      </w:r>
      <w:r w:rsidR="00443826" w:rsidRPr="00443826">
        <w:rPr>
          <w:rFonts w:ascii="Times New Roman" w:eastAsia="Times New Roman" w:hAnsi="Times New Roman" w:cs="Times New Roman"/>
          <w:sz w:val="20"/>
          <w:szCs w:val="20"/>
          <w:lang w:eastAsia="ru-RU"/>
        </w:rPr>
        <w:t>комитета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u w:val="single"/>
          <w:lang w:eastAsia="ru-RU"/>
        </w:rPr>
        <w:t>______</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2021</w:t>
      </w:r>
      <w:r w:rsidRPr="005311C6">
        <w:rPr>
          <w:rFonts w:ascii="Times New Roman" w:eastAsia="Times New Roman" w:hAnsi="Times New Roman" w:cs="Times New Roman"/>
          <w:sz w:val="28"/>
          <w:szCs w:val="28"/>
          <w:lang w:eastAsia="ru-RU"/>
        </w:rPr>
        <w:t xml:space="preserve"> г  №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5311C6">
        <w:rPr>
          <w:rFonts w:ascii="Times New Roman" w:eastAsia="Times New Roman" w:hAnsi="Times New Roman" w:cs="Times New Roman"/>
          <w:sz w:val="28"/>
          <w:szCs w:val="28"/>
          <w:lang w:eastAsia="ru-RU"/>
        </w:rPr>
        <w:t>которые вносятся в постановление МКУ Администрация Муниципального образования «Бичурский район» от 29.12.2017 года №43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Pr="005311C6">
        <w:rPr>
          <w:rFonts w:ascii="Times New Roman" w:eastAsia="Times New Roman" w:hAnsi="Times New Roman" w:cs="Times New Roman"/>
          <w:sz w:val="28"/>
          <w:szCs w:val="28"/>
          <w:lang w:eastAsia="ru-RU"/>
        </w:rPr>
        <w:t>)</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5311C6" w:rsidP="005311C6">
      <w:pPr>
        <w:pStyle w:val="aa"/>
        <w:numPr>
          <w:ilvl w:val="0"/>
          <w:numId w:val="38"/>
        </w:numPr>
        <w:ind w:left="0" w:firstLine="360"/>
        <w:contextualSpacing w:val="0"/>
        <w:jc w:val="both"/>
        <w:rPr>
          <w:rFonts w:ascii="Times New Roman" w:hAnsi="Times New Roman"/>
          <w:sz w:val="28"/>
          <w:szCs w:val="28"/>
        </w:rPr>
      </w:pPr>
      <w:r w:rsidRPr="005311C6">
        <w:rPr>
          <w:rFonts w:ascii="Times New Roman" w:hAnsi="Times New Roman"/>
          <w:sz w:val="28"/>
          <w:szCs w:val="28"/>
        </w:rPr>
        <w:t>Приложение к постановлению Администрации МО «Бичурский район»</w:t>
      </w:r>
      <w:r w:rsidRPr="005311C6">
        <w:rPr>
          <w:sz w:val="28"/>
          <w:szCs w:val="28"/>
        </w:rPr>
        <w:t xml:space="preserve"> </w:t>
      </w:r>
      <w:r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46"/>
      <w:bookmarkEnd w:id="0"/>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дворовых территорий</w:t>
            </w:r>
            <w:r w:rsidR="00580355">
              <w:rPr>
                <w:rFonts w:ascii="Times New Roman" w:eastAsia="Times New Roman" w:hAnsi="Times New Roman" w:cs="Times New Roman"/>
                <w:sz w:val="24"/>
                <w:szCs w:val="24"/>
                <w:lang w:eastAsia="ru-RU"/>
              </w:rPr>
              <w:t xml:space="preserve"> МО «Бичурский район»</w:t>
            </w:r>
          </w:p>
          <w:p w:rsidR="00564783" w:rsidRPr="00580355"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общественных территорий</w:t>
            </w:r>
            <w:r w:rsidR="00580355">
              <w:rPr>
                <w:rFonts w:ascii="Times New Roman" w:eastAsia="Times New Roman" w:hAnsi="Times New Roman" w:cs="Times New Roman"/>
                <w:sz w:val="24"/>
                <w:szCs w:val="24"/>
                <w:lang w:eastAsia="ru-RU"/>
              </w:rPr>
              <w:t xml:space="preserve">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Pr="00415D0F"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Pr="00415D0F"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15D0F" w:rsidP="003E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133"/>
              <w:gridCol w:w="1418"/>
              <w:gridCol w:w="1429"/>
              <w:gridCol w:w="1122"/>
              <w:gridCol w:w="1260"/>
            </w:tblGrid>
            <w:tr w:rsidR="00546A94" w:rsidRPr="009A430F" w:rsidTr="0046092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133"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418"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46092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133" w:type="dxa"/>
                </w:tcPr>
                <w:p w:rsidR="00546A94" w:rsidRPr="00075569" w:rsidRDefault="00546A94" w:rsidP="0046092E">
                  <w:pPr>
                    <w:widowControl w:val="0"/>
                    <w:autoSpaceDE w:val="0"/>
                    <w:autoSpaceDN w:val="0"/>
                    <w:adjustRightInd w:val="0"/>
                    <w:spacing w:after="0" w:line="240" w:lineRule="auto"/>
                    <w:ind w:left="-109"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133" w:type="dxa"/>
                </w:tcPr>
                <w:p w:rsidR="00546A94" w:rsidRPr="00075569" w:rsidRDefault="00850124"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2312,41203</w:t>
                  </w:r>
                </w:p>
              </w:tc>
              <w:tc>
                <w:tcPr>
                  <w:tcW w:w="1418"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46092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133" w:type="dxa"/>
                </w:tcPr>
                <w:p w:rsidR="00546A94" w:rsidRPr="00075569" w:rsidRDefault="00250A9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2141,2391</w:t>
                  </w:r>
                </w:p>
              </w:tc>
              <w:tc>
                <w:tcPr>
                  <w:tcW w:w="1418"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494E3F">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133" w:type="dxa"/>
                </w:tcPr>
                <w:p w:rsidR="00494E3F" w:rsidRPr="00075569" w:rsidRDefault="00494E3F" w:rsidP="00DC3D30">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418" w:type="dxa"/>
                </w:tcPr>
                <w:p w:rsidR="00494E3F" w:rsidRPr="00075569" w:rsidRDefault="00F544B2" w:rsidP="00A604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1861,6</w:t>
                  </w:r>
                  <w:r w:rsidR="00A604E3">
                    <w:rPr>
                      <w:rFonts w:ascii="Times New Roman" w:hAnsi="Times New Roman" w:cs="Times New Roman"/>
                    </w:rPr>
                    <w:t>661</w:t>
                  </w:r>
                  <w:r>
                    <w:rPr>
                      <w:rFonts w:ascii="Times New Roman" w:hAnsi="Times New Roman" w:cs="Times New Roman"/>
                    </w:rPr>
                    <w:t>1</w:t>
                  </w:r>
                </w:p>
              </w:tc>
              <w:tc>
                <w:tcPr>
                  <w:tcW w:w="1429" w:type="dxa"/>
                </w:tcPr>
                <w:p w:rsidR="00494E3F" w:rsidRPr="00075569" w:rsidRDefault="00124F68"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38,03199</w:t>
                  </w:r>
                </w:p>
              </w:tc>
              <w:tc>
                <w:tcPr>
                  <w:tcW w:w="1122" w:type="dxa"/>
                </w:tcPr>
                <w:p w:rsidR="00494E3F" w:rsidRPr="00075569" w:rsidRDefault="00AD0FA4"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124F68">
                    <w:rPr>
                      <w:rFonts w:ascii="Times New Roman" w:hAnsi="Times New Roman" w:cs="Times New Roman"/>
                    </w:rPr>
                    <w:t>9016</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494E3F">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133" w:type="dxa"/>
                </w:tcPr>
                <w:p w:rsidR="00BE7A75" w:rsidRPr="0064047D" w:rsidRDefault="00BE7A75" w:rsidP="00A604E3">
                  <w:pPr>
                    <w:pStyle w:val="ab"/>
                    <w:rPr>
                      <w:sz w:val="20"/>
                    </w:rPr>
                  </w:pPr>
                  <w:r>
                    <w:rPr>
                      <w:color w:val="000000"/>
                      <w:sz w:val="20"/>
                    </w:rPr>
                    <w:t>1983,3</w:t>
                  </w:r>
                </w:p>
              </w:tc>
              <w:tc>
                <w:tcPr>
                  <w:tcW w:w="1418" w:type="dxa"/>
                </w:tcPr>
                <w:p w:rsidR="00BE7A75" w:rsidRPr="0064047D" w:rsidRDefault="00BE7A75" w:rsidP="00A604E3">
                  <w:pPr>
                    <w:pStyle w:val="ab"/>
                    <w:rPr>
                      <w:sz w:val="20"/>
                    </w:rPr>
                  </w:pPr>
                  <w:r>
                    <w:rPr>
                      <w:color w:val="000000"/>
                      <w:sz w:val="20"/>
                    </w:rPr>
                    <w:t>1943,7</w:t>
                  </w:r>
                </w:p>
              </w:tc>
              <w:tc>
                <w:tcPr>
                  <w:tcW w:w="1429" w:type="dxa"/>
                </w:tcPr>
                <w:p w:rsidR="00BE7A75" w:rsidRPr="0064047D" w:rsidRDefault="00BE7A75" w:rsidP="00A604E3">
                  <w:pPr>
                    <w:pStyle w:val="ab"/>
                    <w:rPr>
                      <w:sz w:val="20"/>
                    </w:rPr>
                  </w:pPr>
                  <w:r>
                    <w:rPr>
                      <w:color w:val="000000"/>
                      <w:sz w:val="20"/>
                    </w:rPr>
                    <w:t>38,3167</w:t>
                  </w:r>
                </w:p>
              </w:tc>
              <w:tc>
                <w:tcPr>
                  <w:tcW w:w="1122" w:type="dxa"/>
                </w:tcPr>
                <w:p w:rsidR="00BE7A75" w:rsidRPr="0064047D" w:rsidRDefault="00BE7A75" w:rsidP="00A604E3">
                  <w:pPr>
                    <w:pStyle w:val="ab"/>
                    <w:rPr>
                      <w:sz w:val="20"/>
                    </w:rPr>
                  </w:pPr>
                  <w:r>
                    <w:rPr>
                      <w:color w:val="000000"/>
                      <w:sz w:val="20"/>
                    </w:rPr>
                    <w:t>1,9833</w:t>
                  </w:r>
                </w:p>
              </w:tc>
              <w:tc>
                <w:tcPr>
                  <w:tcW w:w="1260" w:type="dxa"/>
                </w:tcPr>
                <w:p w:rsidR="00BE7A75" w:rsidRPr="0064047D" w:rsidRDefault="00BE7A75" w:rsidP="00A604E3">
                  <w:pPr>
                    <w:pStyle w:val="ab"/>
                    <w:rPr>
                      <w:sz w:val="20"/>
                    </w:rPr>
                  </w:pPr>
                  <w:r>
                    <w:rPr>
                      <w:color w:val="000000"/>
                      <w:sz w:val="20"/>
                    </w:rPr>
                    <w:t>1983,3</w:t>
                  </w:r>
                </w:p>
              </w:tc>
            </w:tr>
            <w:tr w:rsidR="00BE7A75" w:rsidRPr="0011235F" w:rsidTr="0046092E">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133" w:type="dxa"/>
                </w:tcPr>
                <w:p w:rsidR="00BE7A75" w:rsidRPr="0064047D" w:rsidRDefault="00BE7A75" w:rsidP="00A604E3">
                  <w:pPr>
                    <w:pStyle w:val="ab"/>
                    <w:rPr>
                      <w:sz w:val="20"/>
                    </w:rPr>
                  </w:pPr>
                  <w:r>
                    <w:rPr>
                      <w:color w:val="000000"/>
                      <w:sz w:val="20"/>
                    </w:rPr>
                    <w:t>1983,3</w:t>
                  </w:r>
                </w:p>
              </w:tc>
              <w:tc>
                <w:tcPr>
                  <w:tcW w:w="1418" w:type="dxa"/>
                </w:tcPr>
                <w:p w:rsidR="00BE7A75" w:rsidRPr="0064047D" w:rsidRDefault="00BE7A75" w:rsidP="00A604E3">
                  <w:pPr>
                    <w:pStyle w:val="ab"/>
                    <w:rPr>
                      <w:sz w:val="20"/>
                    </w:rPr>
                  </w:pPr>
                  <w:r>
                    <w:rPr>
                      <w:color w:val="000000"/>
                      <w:sz w:val="20"/>
                    </w:rPr>
                    <w:t>1943,7</w:t>
                  </w:r>
                </w:p>
              </w:tc>
              <w:tc>
                <w:tcPr>
                  <w:tcW w:w="1429" w:type="dxa"/>
                </w:tcPr>
                <w:p w:rsidR="00BE7A75" w:rsidRPr="0064047D" w:rsidRDefault="00BE7A75" w:rsidP="00A604E3">
                  <w:pPr>
                    <w:pStyle w:val="ab"/>
                    <w:rPr>
                      <w:sz w:val="20"/>
                    </w:rPr>
                  </w:pPr>
                  <w:r>
                    <w:rPr>
                      <w:color w:val="000000"/>
                      <w:sz w:val="20"/>
                    </w:rPr>
                    <w:t>38,3167</w:t>
                  </w:r>
                </w:p>
              </w:tc>
              <w:tc>
                <w:tcPr>
                  <w:tcW w:w="1122" w:type="dxa"/>
                </w:tcPr>
                <w:p w:rsidR="00BE7A75" w:rsidRPr="0064047D" w:rsidRDefault="00BE7A75" w:rsidP="00A604E3">
                  <w:pPr>
                    <w:pStyle w:val="ab"/>
                    <w:rPr>
                      <w:sz w:val="20"/>
                    </w:rPr>
                  </w:pPr>
                  <w:r>
                    <w:rPr>
                      <w:color w:val="000000"/>
                      <w:sz w:val="20"/>
                    </w:rPr>
                    <w:t>1,9833</w:t>
                  </w:r>
                </w:p>
              </w:tc>
              <w:tc>
                <w:tcPr>
                  <w:tcW w:w="1260" w:type="dxa"/>
                </w:tcPr>
                <w:p w:rsidR="00BE7A75" w:rsidRPr="0064047D" w:rsidRDefault="00BE7A75" w:rsidP="00A604E3">
                  <w:pPr>
                    <w:pStyle w:val="ab"/>
                    <w:rPr>
                      <w:sz w:val="20"/>
                    </w:rPr>
                  </w:pPr>
                  <w:r>
                    <w:rPr>
                      <w:color w:val="000000"/>
                      <w:sz w:val="20"/>
                    </w:rPr>
                    <w:t>1983,3</w:t>
                  </w:r>
                </w:p>
              </w:tc>
            </w:tr>
            <w:tr w:rsidR="00BA2D0D" w:rsidRPr="0011235F" w:rsidTr="0046092E">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133"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0*</w:t>
                  </w:r>
                </w:p>
              </w:tc>
              <w:tc>
                <w:tcPr>
                  <w:tcW w:w="1418"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BA2D0D"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2E5704"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w:t>
      </w:r>
      <w:r w:rsidR="00E1208D">
        <w:rPr>
          <w:rFonts w:ascii="Times New Roman" w:eastAsia="Times New Roman" w:hAnsi="Times New Roman" w:cs="Times New Roman"/>
          <w:sz w:val="24"/>
          <w:szCs w:val="24"/>
          <w:lang w:eastAsia="ru-RU"/>
        </w:rPr>
        <w:lastRenderedPageBreak/>
        <w:t>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В парке «Победы» </w:t>
      </w:r>
      <w:r w:rsidR="0086225D">
        <w:rPr>
          <w:rFonts w:ascii="Times New Roman" w:eastAsia="Times New Roman" w:hAnsi="Times New Roman" w:cs="Times New Roman"/>
          <w:sz w:val="24"/>
          <w:szCs w:val="24"/>
          <w:lang w:eastAsia="ru-RU"/>
        </w:rPr>
        <w:t xml:space="preserve">находятся: памятник воинам интернационалистам, памятник труженикам тыла, памятник участникам Великой Отечественной войны. </w:t>
      </w:r>
      <w:r w:rsidR="00427243">
        <w:rPr>
          <w:rFonts w:ascii="Times New Roman" w:eastAsia="Times New Roman" w:hAnsi="Times New Roman" w:cs="Times New Roman"/>
          <w:sz w:val="24"/>
          <w:szCs w:val="24"/>
          <w:lang w:eastAsia="ru-RU"/>
        </w:rPr>
        <w:t>В</w:t>
      </w:r>
      <w:r w:rsidR="00E1208D">
        <w:rPr>
          <w:rFonts w:ascii="Times New Roman" w:eastAsia="Times New Roman" w:hAnsi="Times New Roman" w:cs="Times New Roman"/>
          <w:sz w:val="24"/>
          <w:szCs w:val="24"/>
          <w:lang w:eastAsia="ru-RU"/>
        </w:rPr>
        <w:t xml:space="preserve"> 2018 году</w:t>
      </w:r>
      <w:r w:rsidR="00427243">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 xml:space="preserve">в </w:t>
      </w:r>
      <w:r w:rsidR="00427243">
        <w:rPr>
          <w:rFonts w:ascii="Times New Roman" w:eastAsia="Times New Roman" w:hAnsi="Times New Roman" w:cs="Times New Roman"/>
          <w:sz w:val="24"/>
          <w:szCs w:val="24"/>
          <w:lang w:eastAsia="ru-RU"/>
        </w:rPr>
        <w:t>парке</w:t>
      </w:r>
      <w:r w:rsidR="0086225D">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w:t>
      </w:r>
      <w:r w:rsidR="007068BE">
        <w:rPr>
          <w:rFonts w:ascii="Times New Roman" w:eastAsia="Times New Roman" w:hAnsi="Times New Roman" w:cs="Times New Roman"/>
          <w:sz w:val="24"/>
          <w:szCs w:val="24"/>
          <w:lang w:eastAsia="ru-RU"/>
        </w:rPr>
        <w:t>стро</w:t>
      </w:r>
      <w:r w:rsidR="00E1208D">
        <w:rPr>
          <w:rFonts w:ascii="Times New Roman" w:eastAsia="Times New Roman" w:hAnsi="Times New Roman" w:cs="Times New Roman"/>
          <w:sz w:val="24"/>
          <w:szCs w:val="24"/>
          <w:lang w:eastAsia="ru-RU"/>
        </w:rPr>
        <w:t>ены пешеходные</w:t>
      </w:r>
      <w:r w:rsidR="007068BE">
        <w:rPr>
          <w:rFonts w:ascii="Times New Roman" w:eastAsia="Times New Roman" w:hAnsi="Times New Roman" w:cs="Times New Roman"/>
          <w:sz w:val="24"/>
          <w:szCs w:val="24"/>
          <w:lang w:eastAsia="ru-RU"/>
        </w:rPr>
        <w:t xml:space="preserve"> дорожк</w:t>
      </w:r>
      <w:r w:rsidR="00E1208D">
        <w:rPr>
          <w:rFonts w:ascii="Times New Roman" w:eastAsia="Times New Roman" w:hAnsi="Times New Roman" w:cs="Times New Roman"/>
          <w:sz w:val="24"/>
          <w:szCs w:val="24"/>
          <w:lang w:eastAsia="ru-RU"/>
        </w:rPr>
        <w:t>и</w:t>
      </w:r>
      <w:r w:rsidR="00881946">
        <w:rPr>
          <w:rFonts w:ascii="Times New Roman" w:eastAsia="Times New Roman" w:hAnsi="Times New Roman" w:cs="Times New Roman"/>
          <w:sz w:val="24"/>
          <w:szCs w:val="24"/>
          <w:lang w:eastAsia="ru-RU"/>
        </w:rPr>
        <w:t xml:space="preserve">, </w:t>
      </w:r>
      <w:r w:rsidR="00E1208D">
        <w:rPr>
          <w:rFonts w:ascii="Times New Roman" w:eastAsia="Times New Roman" w:hAnsi="Times New Roman" w:cs="Times New Roman"/>
          <w:sz w:val="24"/>
          <w:szCs w:val="24"/>
          <w:lang w:eastAsia="ru-RU"/>
        </w:rPr>
        <w:t>построены ступени с поручнем к бассейну, установлены</w:t>
      </w:r>
      <w:r w:rsidR="00881946">
        <w:rPr>
          <w:rFonts w:ascii="Times New Roman" w:eastAsia="Times New Roman" w:hAnsi="Times New Roman" w:cs="Times New Roman"/>
          <w:sz w:val="24"/>
          <w:szCs w:val="24"/>
          <w:lang w:eastAsia="ru-RU"/>
        </w:rPr>
        <w:t xml:space="preserve"> освещени</w:t>
      </w:r>
      <w:r w:rsidR="00E1208D">
        <w:rPr>
          <w:rFonts w:ascii="Times New Roman" w:eastAsia="Times New Roman" w:hAnsi="Times New Roman" w:cs="Times New Roman"/>
          <w:sz w:val="24"/>
          <w:szCs w:val="24"/>
          <w:lang w:eastAsia="ru-RU"/>
        </w:rPr>
        <w:t>е</w:t>
      </w:r>
      <w:r w:rsidR="00881946">
        <w:rPr>
          <w:rFonts w:ascii="Times New Roman" w:eastAsia="Times New Roman" w:hAnsi="Times New Roman" w:cs="Times New Roman"/>
          <w:sz w:val="24"/>
          <w:szCs w:val="24"/>
          <w:lang w:eastAsia="ru-RU"/>
        </w:rPr>
        <w:t xml:space="preserve"> и видео</w:t>
      </w:r>
      <w:r w:rsidR="00E1208D">
        <w:rPr>
          <w:rFonts w:ascii="Times New Roman" w:eastAsia="Times New Roman" w:hAnsi="Times New Roman" w:cs="Times New Roman"/>
          <w:sz w:val="24"/>
          <w:szCs w:val="24"/>
          <w:lang w:eastAsia="ru-RU"/>
        </w:rPr>
        <w:t>наблюдение, установлены беседки, урну, скамейки, выложены плиткой места вокруг памятников</w:t>
      </w:r>
      <w:r w:rsidR="00881946">
        <w:rPr>
          <w:rFonts w:ascii="Times New Roman" w:eastAsia="Times New Roman" w:hAnsi="Times New Roman" w:cs="Times New Roman"/>
          <w:sz w:val="24"/>
          <w:szCs w:val="24"/>
          <w:lang w:eastAsia="ru-RU"/>
        </w:rPr>
        <w:t>.</w:t>
      </w:r>
      <w:r w:rsidR="007068BE">
        <w:rPr>
          <w:rFonts w:ascii="Times New Roman" w:eastAsia="Times New Roman" w:hAnsi="Times New Roman" w:cs="Times New Roman"/>
          <w:sz w:val="24"/>
          <w:szCs w:val="24"/>
          <w:lang w:eastAsia="ru-RU"/>
        </w:rPr>
        <w:t xml:space="preserve">   </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F32881">
        <w:rPr>
          <w:rFonts w:ascii="Times New Roman" w:eastAsia="Times New Roman" w:hAnsi="Times New Roman" w:cs="Times New Roman"/>
          <w:sz w:val="24"/>
          <w:szCs w:val="24"/>
          <w:lang w:eastAsia="ru-RU"/>
        </w:rPr>
        <w:t xml:space="preserve">До 2024 года планируется </w:t>
      </w:r>
      <w:r w:rsidR="00E02E59">
        <w:rPr>
          <w:rFonts w:ascii="Times New Roman" w:eastAsia="Times New Roman" w:hAnsi="Times New Roman" w:cs="Times New Roman"/>
          <w:sz w:val="24"/>
          <w:szCs w:val="24"/>
          <w:lang w:eastAsia="ru-RU"/>
        </w:rPr>
        <w:t>обустроить спортивную площадку,</w:t>
      </w:r>
      <w:r w:rsidR="00121D6C">
        <w:rPr>
          <w:rFonts w:ascii="Times New Roman" w:eastAsia="Times New Roman" w:hAnsi="Times New Roman" w:cs="Times New Roman"/>
          <w:sz w:val="24"/>
          <w:szCs w:val="24"/>
          <w:lang w:eastAsia="ru-RU"/>
        </w:rPr>
        <w:t xml:space="preserve"> 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ограждения</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планируется произвести огораживание и укладку тротуарных дорожек с установкой скамеек, урн и освещения.</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w:t>
      </w:r>
      <w:r w:rsidR="00415D0F" w:rsidRPr="00415D0F">
        <w:rPr>
          <w:rFonts w:ascii="Times New Roman" w:eastAsia="Times New Roman" w:hAnsi="Times New Roman" w:cs="Times New Roman"/>
          <w:sz w:val="24"/>
          <w:szCs w:val="24"/>
          <w:lang w:eastAsia="ru-RU"/>
        </w:rPr>
        <w:lastRenderedPageBreak/>
        <w:t>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5A146F" w:rsidRPr="00415D0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МО СП «</w:t>
      </w:r>
      <w:proofErr w:type="spellStart"/>
      <w:r>
        <w:rPr>
          <w:rFonts w:ascii="Times New Roman" w:eastAsia="Times New Roman" w:hAnsi="Times New Roman" w:cs="Times New Roman"/>
          <w:sz w:val="24"/>
          <w:szCs w:val="24"/>
          <w:lang w:eastAsia="ru-RU"/>
        </w:rPr>
        <w:t>Малокуналейское</w:t>
      </w:r>
      <w:proofErr w:type="spellEnd"/>
      <w:r>
        <w:rPr>
          <w:rFonts w:ascii="Times New Roman" w:eastAsia="Times New Roman" w:hAnsi="Times New Roman" w:cs="Times New Roman"/>
          <w:sz w:val="24"/>
          <w:szCs w:val="24"/>
          <w:lang w:eastAsia="ru-RU"/>
        </w:rPr>
        <w:t>» и МО СП «</w:t>
      </w:r>
      <w:proofErr w:type="spellStart"/>
      <w:r>
        <w:rPr>
          <w:rFonts w:ascii="Times New Roman" w:eastAsia="Times New Roman" w:hAnsi="Times New Roman" w:cs="Times New Roman"/>
          <w:sz w:val="24"/>
          <w:szCs w:val="24"/>
          <w:lang w:eastAsia="ru-RU"/>
        </w:rPr>
        <w:t>Шибертуйское</w:t>
      </w:r>
      <w:proofErr w:type="spellEnd"/>
      <w:r>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Средства </w:t>
      </w:r>
      <w:r w:rsidR="00E96016">
        <w:rPr>
          <w:rFonts w:ascii="Times New Roman" w:eastAsia="Times New Roman" w:hAnsi="Times New Roman" w:cs="Times New Roman"/>
          <w:sz w:val="24"/>
          <w:szCs w:val="24"/>
          <w:lang w:eastAsia="ru-RU"/>
        </w:rPr>
        <w:t>бюджет</w:t>
      </w:r>
      <w:r w:rsidR="00FF2F8F">
        <w:rPr>
          <w:rFonts w:ascii="Times New Roman" w:eastAsia="Times New Roman" w:hAnsi="Times New Roman" w:cs="Times New Roman"/>
          <w:sz w:val="24"/>
          <w:szCs w:val="24"/>
          <w:lang w:eastAsia="ru-RU"/>
        </w:rPr>
        <w:t>ов</w:t>
      </w:r>
      <w:r w:rsidR="00E96016">
        <w:rPr>
          <w:rFonts w:ascii="Times New Roman" w:eastAsia="Times New Roman" w:hAnsi="Times New Roman" w:cs="Times New Roman"/>
          <w:sz w:val="24"/>
          <w:szCs w:val="24"/>
          <w:lang w:eastAsia="ru-RU"/>
        </w:rPr>
        <w:t xml:space="preserve"> </w:t>
      </w:r>
      <w:r w:rsidR="0032168E">
        <w:rPr>
          <w:rFonts w:ascii="Times New Roman" w:eastAsia="Times New Roman" w:hAnsi="Times New Roman" w:cs="Times New Roman"/>
          <w:sz w:val="24"/>
          <w:szCs w:val="24"/>
          <w:lang w:eastAsia="ru-RU"/>
        </w:rPr>
        <w:t xml:space="preserve">сельских поселений </w:t>
      </w:r>
      <w:r w:rsidR="00FF2F8F">
        <w:rPr>
          <w:rFonts w:ascii="Times New Roman" w:eastAsia="Times New Roman" w:hAnsi="Times New Roman" w:cs="Times New Roman"/>
          <w:sz w:val="24"/>
          <w:szCs w:val="24"/>
          <w:lang w:eastAsia="ru-RU"/>
        </w:rPr>
        <w:t xml:space="preserve">- </w:t>
      </w:r>
      <w:r w:rsidR="00EE0820">
        <w:rPr>
          <w:rFonts w:ascii="Times New Roman" w:eastAsia="Times New Roman" w:hAnsi="Times New Roman" w:cs="Times New Roman"/>
          <w:sz w:val="24"/>
          <w:szCs w:val="24"/>
          <w:lang w:eastAsia="ru-RU"/>
        </w:rPr>
        <w:t>в размере 0,1 %</w:t>
      </w:r>
      <w:r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E05A67" w:rsidRPr="00415D0F">
        <w:rPr>
          <w:rFonts w:ascii="Times New Roman" w:eastAsia="Times New Roman" w:hAnsi="Times New Roman" w:cs="Times New Roman"/>
          <w:sz w:val="24"/>
          <w:szCs w:val="24"/>
          <w:lang w:eastAsia="ru-RU"/>
        </w:rPr>
        <w:t>.</w:t>
      </w:r>
      <w:r w:rsidR="00E05A67">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Для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E147B7" w:rsidRDefault="00476591" w:rsidP="003A26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p>
    <w:p w:rsidR="005B106F" w:rsidRDefault="005B106F" w:rsidP="005B106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 индикаторов производится следующим образом:</w:t>
      </w:r>
    </w:p>
    <w:p w:rsidR="005B106F" w:rsidRPr="00DE31F6" w:rsidRDefault="005B106F" w:rsidP="005B106F">
      <w:pPr>
        <w:pStyle w:val="aa"/>
        <w:widowControl w:val="0"/>
        <w:numPr>
          <w:ilvl w:val="0"/>
          <w:numId w:val="36"/>
        </w:numPr>
        <w:tabs>
          <w:tab w:val="left" w:pos="0"/>
        </w:tabs>
        <w:autoSpaceDE w:val="0"/>
        <w:autoSpaceDN w:val="0"/>
        <w:adjustRightInd w:val="0"/>
        <w:spacing w:after="0" w:line="240" w:lineRule="auto"/>
        <w:ind w:left="0" w:firstLine="567"/>
        <w:jc w:val="both"/>
        <w:outlineLvl w:val="1"/>
        <w:rPr>
          <w:rFonts w:ascii="Times New Roman" w:eastAsia="Times New Roman" w:hAnsi="Times New Roman" w:cs="Times New Roman"/>
          <w:b/>
          <w:bCs/>
          <w:sz w:val="24"/>
          <w:szCs w:val="24"/>
          <w:lang w:eastAsia="ru-RU"/>
        </w:rPr>
      </w:pPr>
      <w:r>
        <w:rPr>
          <w:rFonts w:ascii="Times New Roman" w:hAnsi="Times New Roman" w:cs="Times New Roman"/>
          <w:sz w:val="24"/>
          <w:szCs w:val="24"/>
        </w:rPr>
        <w:t>Доля благоустроенных дворовых и  общественных</w:t>
      </w:r>
      <w:r w:rsidRPr="00560269">
        <w:rPr>
          <w:rFonts w:ascii="Times New Roman" w:hAnsi="Times New Roman" w:cs="Times New Roman"/>
          <w:sz w:val="24"/>
          <w:szCs w:val="24"/>
        </w:rPr>
        <w:t xml:space="preserve"> территорий в общем количестве</w:t>
      </w:r>
      <w:r>
        <w:rPr>
          <w:rFonts w:ascii="Times New Roman" w:hAnsi="Times New Roman" w:cs="Times New Roman"/>
          <w:sz w:val="24"/>
          <w:szCs w:val="24"/>
        </w:rPr>
        <w:t xml:space="preserve"> дворовых и </w:t>
      </w:r>
      <w:r w:rsidRPr="00560269">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560269">
        <w:rPr>
          <w:rFonts w:ascii="Times New Roman" w:hAnsi="Times New Roman" w:cs="Times New Roman"/>
          <w:sz w:val="24"/>
          <w:szCs w:val="24"/>
        </w:rPr>
        <w:t xml:space="preserve">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определяется как отношение  фактически выполненного объема работ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запланированному по благоустройству общественных и дворовых территорий на планируемый финансовый год в процентном выражении.</w:t>
      </w:r>
    </w:p>
    <w:p w:rsidR="0044123A" w:rsidRDefault="0044123A" w:rsidP="005B106F">
      <w:pPr>
        <w:pStyle w:val="ab"/>
        <w:tabs>
          <w:tab w:val="left" w:pos="0"/>
        </w:tabs>
        <w:spacing w:line="276" w:lineRule="auto"/>
        <w:ind w:firstLine="567"/>
        <w:jc w:val="both"/>
        <w:rPr>
          <w:sz w:val="24"/>
          <w:szCs w:val="24"/>
        </w:rPr>
      </w:pPr>
    </w:p>
    <w:p w:rsidR="005B106F" w:rsidRDefault="005B106F" w:rsidP="00124F68">
      <w:pPr>
        <w:pStyle w:val="aa"/>
        <w:widowControl w:val="0"/>
        <w:numPr>
          <w:ilvl w:val="0"/>
          <w:numId w:val="36"/>
        </w:numPr>
        <w:tabs>
          <w:tab w:val="left" w:pos="0"/>
        </w:tabs>
        <w:autoSpaceDE w:val="0"/>
        <w:autoSpaceDN w:val="0"/>
        <w:adjustRightInd w:val="0"/>
        <w:spacing w:after="0" w:line="240" w:lineRule="auto"/>
        <w:ind w:left="0" w:firstLine="567"/>
        <w:jc w:val="both"/>
        <w:outlineLvl w:val="1"/>
        <w:rPr>
          <w:sz w:val="24"/>
          <w:szCs w:val="24"/>
        </w:rPr>
        <w:sectPr w:rsidR="005B106F" w:rsidSect="00076103">
          <w:footerReference w:type="default" r:id="rId10"/>
          <w:pgSz w:w="11906" w:h="16838"/>
          <w:pgMar w:top="993" w:right="991" w:bottom="709" w:left="1701" w:header="708" w:footer="708" w:gutter="0"/>
          <w:cols w:space="708"/>
          <w:docGrid w:linePitch="360"/>
        </w:sectPr>
      </w:pPr>
      <w:r w:rsidRPr="00560269">
        <w:rPr>
          <w:rFonts w:ascii="Times New Roman" w:hAnsi="Times New Roman" w:cs="Times New Roman"/>
          <w:sz w:val="24"/>
          <w:szCs w:val="24"/>
        </w:rPr>
        <w:t>Количество благоустроенных</w:t>
      </w:r>
      <w:r>
        <w:rPr>
          <w:rFonts w:ascii="Times New Roman" w:hAnsi="Times New Roman" w:cs="Times New Roman"/>
          <w:sz w:val="24"/>
          <w:szCs w:val="24"/>
        </w:rPr>
        <w:t xml:space="preserve"> дворовых и</w:t>
      </w:r>
      <w:r w:rsidRPr="00560269">
        <w:rPr>
          <w:rFonts w:ascii="Times New Roman" w:hAnsi="Times New Roman" w:cs="Times New Roman"/>
          <w:sz w:val="24"/>
          <w:szCs w:val="24"/>
        </w:rPr>
        <w:t xml:space="preserve"> общественных  территорий подлежащих благоустройству с использованием субсидии в соответствии с планом на очередной финансовый год</w:t>
      </w:r>
      <w:r>
        <w:rPr>
          <w:rFonts w:ascii="Times New Roman" w:hAnsi="Times New Roman" w:cs="Times New Roman"/>
          <w:sz w:val="24"/>
          <w:szCs w:val="24"/>
        </w:rPr>
        <w:t xml:space="preserve"> рассчитывается </w:t>
      </w:r>
      <w:r w:rsidR="00124F68">
        <w:rPr>
          <w:rFonts w:ascii="Times New Roman" w:hAnsi="Times New Roman" w:cs="Times New Roman"/>
          <w:sz w:val="24"/>
          <w:szCs w:val="24"/>
        </w:rPr>
        <w:t>по количеству объектов благоустройства, предусмотренных в адресном перечне (приложение № 1 к муниципальной программе).</w:t>
      </w:r>
    </w:p>
    <w:p w:rsidR="00207772" w:rsidRDefault="00207772" w:rsidP="00207772">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284"/>
        <w:gridCol w:w="283"/>
        <w:gridCol w:w="284"/>
        <w:gridCol w:w="283"/>
        <w:gridCol w:w="284"/>
        <w:gridCol w:w="283"/>
        <w:gridCol w:w="284"/>
        <w:gridCol w:w="283"/>
        <w:gridCol w:w="284"/>
        <w:gridCol w:w="283"/>
        <w:gridCol w:w="284"/>
        <w:gridCol w:w="283"/>
        <w:gridCol w:w="284"/>
        <w:gridCol w:w="283"/>
        <w:gridCol w:w="284"/>
        <w:gridCol w:w="283"/>
        <w:gridCol w:w="284"/>
        <w:gridCol w:w="4394"/>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14"/>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gridSpan w:val="2"/>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gridSpan w:val="2"/>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gridSpan w:val="2"/>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20"/>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E4EE3" w:rsidRPr="00CB20C4" w:rsidRDefault="00CB20C4" w:rsidP="00207772">
            <w:pPr>
              <w:pStyle w:val="aa"/>
              <w:widowControl w:val="0"/>
              <w:numPr>
                <w:ilvl w:val="3"/>
                <w:numId w:val="1"/>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20"/>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124F68">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w:t>
            </w:r>
            <w:r w:rsidRPr="00CB20C4">
              <w:rPr>
                <w:rFonts w:ascii="Times New Roman" w:hAnsi="Times New Roman" w:cs="Times New Roman"/>
                <w:sz w:val="20"/>
                <w:szCs w:val="20"/>
              </w:rPr>
              <w:lastRenderedPageBreak/>
              <w:t>выражении.</w:t>
            </w:r>
          </w:p>
        </w:tc>
      </w:tr>
      <w:tr w:rsidR="00973828" w:rsidRPr="00E9663E" w:rsidTr="00124F68">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207772">
            <w:pPr>
              <w:pStyle w:val="aa"/>
              <w:widowControl w:val="0"/>
              <w:numPr>
                <w:ilvl w:val="0"/>
                <w:numId w:val="36"/>
              </w:numPr>
              <w:tabs>
                <w:tab w:val="left" w:pos="80"/>
              </w:tabs>
              <w:autoSpaceDE w:val="0"/>
              <w:autoSpaceDN w:val="0"/>
              <w:adjustRightInd w:val="0"/>
              <w:spacing w:after="0" w:line="240" w:lineRule="auto"/>
              <w:ind w:left="80" w:firstLine="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20"/>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207772">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1.</w:t>
            </w:r>
            <w:r w:rsidRPr="00207772">
              <w:rPr>
                <w:rFonts w:ascii="Times New Roman" w:hAnsi="Times New Roman" w:cs="Times New Roman"/>
                <w:sz w:val="20"/>
                <w:szCs w:val="20"/>
              </w:rPr>
              <w:tab/>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C83B8A" w:rsidRDefault="00C83B8A"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C83B8A" w:rsidRDefault="00C83B8A"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A3FC2" w:rsidRDefault="005A3FC2" w:rsidP="00A857E4">
      <w:pPr>
        <w:pStyle w:val="aa"/>
        <w:widowControl w:val="0"/>
        <w:tabs>
          <w:tab w:val="left" w:pos="567"/>
          <w:tab w:val="left" w:pos="851"/>
        </w:tabs>
        <w:autoSpaceDE w:val="0"/>
        <w:autoSpaceDN w:val="0"/>
        <w:adjustRightInd w:val="0"/>
        <w:spacing w:after="0" w:line="240" w:lineRule="auto"/>
        <w:ind w:left="426" w:firstLine="425"/>
        <w:outlineLvl w:val="1"/>
        <w:rPr>
          <w:rFonts w:ascii="Times New Roman" w:hAnsi="Times New Roman" w:cs="Times New Roman"/>
          <w:sz w:val="24"/>
          <w:szCs w:val="24"/>
        </w:rPr>
      </w:pPr>
    </w:p>
    <w:p w:rsidR="009D53B6" w:rsidRPr="009D53B6" w:rsidRDefault="009D53B6" w:rsidP="00207772">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9D53B6" w:rsidRPr="009D53B6" w:rsidRDefault="009D53B6"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1D44CF" w:rsidRPr="009D53B6" w:rsidRDefault="001D44CF" w:rsidP="009D53B6">
      <w:pPr>
        <w:pStyle w:val="aa"/>
        <w:widowControl w:val="0"/>
        <w:tabs>
          <w:tab w:val="left" w:pos="567"/>
          <w:tab w:val="left" w:pos="851"/>
        </w:tabs>
        <w:autoSpaceDE w:val="0"/>
        <w:autoSpaceDN w:val="0"/>
        <w:adjustRightInd w:val="0"/>
        <w:spacing w:after="0" w:line="240" w:lineRule="auto"/>
        <w:ind w:left="1571"/>
        <w:outlineLvl w:val="1"/>
        <w:rPr>
          <w:rFonts w:ascii="Times New Roman" w:eastAsia="Times New Roman" w:hAnsi="Times New Roman" w:cs="Times New Roman"/>
          <w:b/>
          <w:bCs/>
          <w:sz w:val="24"/>
          <w:szCs w:val="24"/>
          <w:lang w:eastAsia="ru-RU"/>
        </w:rPr>
      </w:pPr>
    </w:p>
    <w:p w:rsidR="00415D0F" w:rsidRDefault="001D44CF" w:rsidP="00CF7997">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Ресурсное обеспечение Программы осуществляется за счет бюджетных ассигнований из федерального, республиканского</w:t>
      </w:r>
      <w:r w:rsidR="00CF79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местного бюджетов</w:t>
      </w:r>
      <w:r w:rsidR="00CF7997">
        <w:rPr>
          <w:rFonts w:ascii="Times New Roman" w:eastAsia="Times New Roman" w:hAnsi="Times New Roman" w:cs="Times New Roman"/>
          <w:sz w:val="24"/>
          <w:szCs w:val="24"/>
          <w:lang w:eastAsia="ru-RU"/>
        </w:rPr>
        <w:t xml:space="preserve"> и за счет иных источников финансирования</w:t>
      </w:r>
      <w:r>
        <w:rPr>
          <w:rFonts w:ascii="Times New Roman" w:eastAsia="Times New Roman" w:hAnsi="Times New Roman" w:cs="Times New Roman"/>
          <w:sz w:val="24"/>
          <w:szCs w:val="24"/>
          <w:lang w:eastAsia="ru-RU"/>
        </w:rPr>
        <w:t>.</w:t>
      </w:r>
      <w:r w:rsidR="005645D1">
        <w:rPr>
          <w:rFonts w:ascii="Times New Roman" w:eastAsia="Times New Roman" w:hAnsi="Times New Roman" w:cs="Times New Roman"/>
          <w:sz w:val="24"/>
          <w:szCs w:val="24"/>
          <w:lang w:eastAsia="ru-RU"/>
        </w:rPr>
        <w:t xml:space="preserve"> </w:t>
      </w:r>
    </w:p>
    <w:p w:rsidR="008303EB" w:rsidRPr="00415D0F" w:rsidRDefault="008303EB" w:rsidP="0044123A">
      <w:pPr>
        <w:widowControl w:val="0"/>
        <w:tabs>
          <w:tab w:val="left" w:pos="567"/>
          <w:tab w:val="left" w:pos="851"/>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p>
    <w:tbl>
      <w:tblPr>
        <w:tblW w:w="1502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992"/>
        <w:gridCol w:w="851"/>
      </w:tblGrid>
      <w:tr w:rsidR="00CF7997" w:rsidRPr="005551FC" w:rsidTr="00CF7997">
        <w:trPr>
          <w:trHeight w:val="80"/>
        </w:trPr>
        <w:tc>
          <w:tcPr>
            <w:tcW w:w="15026" w:type="dxa"/>
            <w:gridSpan w:val="10"/>
            <w:tcBorders>
              <w:top w:val="nil"/>
              <w:left w:val="nil"/>
              <w:bottom w:val="nil"/>
              <w:right w:val="nil"/>
            </w:tcBorders>
            <w:shd w:val="clear" w:color="auto" w:fill="auto"/>
            <w:noWrap/>
            <w:vAlign w:val="bottom"/>
            <w:hideMark/>
          </w:tcPr>
          <w:p w:rsidR="00CF7997" w:rsidRDefault="00CF7997"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Ресурсное обеспечение </w:t>
            </w:r>
            <w:r w:rsidR="00701E0A">
              <w:rPr>
                <w:rFonts w:ascii="Times New Roman" w:eastAsia="Times New Roman" w:hAnsi="Times New Roman" w:cs="Times New Roman"/>
                <w:bCs/>
                <w:color w:val="000000"/>
                <w:sz w:val="24"/>
                <w:szCs w:val="24"/>
                <w:lang w:eastAsia="ru-RU"/>
              </w:rPr>
              <w:t xml:space="preserve"> </w:t>
            </w:r>
          </w:p>
          <w:p w:rsidR="000C10C0" w:rsidRDefault="000C10C0" w:rsidP="00CF7997">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4123A" w:rsidRPr="0068781E" w:rsidTr="0075778E">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4123A" w:rsidRPr="0068781E" w:rsidTr="008140C8">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4123A" w:rsidRPr="008303EB" w:rsidRDefault="0044123A"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4123A" w:rsidRPr="008303EB" w:rsidRDefault="0044123A"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vAlign w:val="center"/>
          </w:tcPr>
          <w:p w:rsidR="0044123A" w:rsidRPr="008303EB" w:rsidRDefault="006349C7" w:rsidP="006349C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8140C8" w:rsidRPr="004508EE" w:rsidTr="008140C8">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8140C8" w:rsidRPr="008303EB" w:rsidRDefault="008140C8" w:rsidP="00CC12E3">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0F47EB">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8140C8" w:rsidP="00AD0FA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w:t>
            </w:r>
            <w:r w:rsidR="00494E3F">
              <w:rPr>
                <w:rFonts w:ascii="Times New Roman" w:hAnsi="Times New Roman" w:cs="Times New Roman"/>
                <w:sz w:val="20"/>
                <w:szCs w:val="20"/>
              </w:rPr>
              <w:t>1</w:t>
            </w:r>
            <w:r>
              <w:rPr>
                <w:rFonts w:ascii="Times New Roman" w:hAnsi="Times New Roman" w:cs="Times New Roman"/>
                <w:sz w:val="20"/>
                <w:szCs w:val="20"/>
              </w:rPr>
              <w:t>,</w:t>
            </w:r>
            <w:r w:rsidR="00AD0FA4">
              <w:rPr>
                <w:rFonts w:ascii="Times New Roman" w:hAnsi="Times New Roman" w:cs="Times New Roman"/>
                <w:sz w:val="20"/>
                <w:szCs w:val="20"/>
              </w:rPr>
              <w:t>5997</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00"/>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8140C8" w:rsidRPr="00BF7E1D"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F544B2" w:rsidP="00124F6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1861,6</w:t>
            </w:r>
            <w:r w:rsidR="00124F68">
              <w:rPr>
                <w:rFonts w:ascii="Times New Roman" w:hAnsi="Times New Roman" w:cs="Times New Roman"/>
                <w:sz w:val="20"/>
                <w:szCs w:val="20"/>
              </w:rPr>
              <w:t>661</w:t>
            </w:r>
            <w:r>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140C8" w:rsidRPr="008303EB"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407"/>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124F68" w:rsidP="00494E3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38,03399</w:t>
            </w:r>
          </w:p>
        </w:tc>
        <w:tc>
          <w:tcPr>
            <w:tcW w:w="1276" w:type="dxa"/>
            <w:tcBorders>
              <w:top w:val="nil"/>
              <w:left w:val="nil"/>
              <w:bottom w:val="single" w:sz="4" w:space="0" w:color="auto"/>
              <w:right w:val="single" w:sz="4" w:space="0" w:color="auto"/>
            </w:tcBorders>
            <w:shd w:val="clear" w:color="auto" w:fill="auto"/>
            <w:hideMark/>
          </w:tcPr>
          <w:p w:rsidR="008140C8" w:rsidRPr="00EE3F36" w:rsidRDefault="008140C8" w:rsidP="00E02C8D">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140C8" w:rsidRPr="00EE3F36" w:rsidRDefault="008140C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140C8" w:rsidRPr="008303EB"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140C8" w:rsidRPr="004508EE" w:rsidTr="008140C8">
        <w:trPr>
          <w:trHeight w:val="268"/>
        </w:trPr>
        <w:tc>
          <w:tcPr>
            <w:tcW w:w="1560"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8140C8" w:rsidRPr="00FD4DA8" w:rsidRDefault="008140C8" w:rsidP="00FD4DA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8140C8" w:rsidRPr="008303EB" w:rsidRDefault="00124F68" w:rsidP="00124F6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1,9016</w:t>
            </w:r>
          </w:p>
        </w:tc>
        <w:tc>
          <w:tcPr>
            <w:tcW w:w="1276" w:type="dxa"/>
            <w:tcBorders>
              <w:top w:val="nil"/>
              <w:left w:val="nil"/>
              <w:bottom w:val="single" w:sz="4" w:space="0" w:color="auto"/>
              <w:right w:val="single" w:sz="4" w:space="0" w:color="auto"/>
            </w:tcBorders>
            <w:shd w:val="clear" w:color="auto" w:fill="auto"/>
            <w:hideMark/>
          </w:tcPr>
          <w:p w:rsidR="008140C8" w:rsidRPr="008303EB" w:rsidRDefault="008140C8" w:rsidP="00EE3F36">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140C8" w:rsidRPr="004508EE" w:rsidTr="008140C8">
        <w:trPr>
          <w:trHeight w:val="90"/>
        </w:trPr>
        <w:tc>
          <w:tcPr>
            <w:tcW w:w="1560"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8140C8" w:rsidRPr="00075569" w:rsidRDefault="008140C8" w:rsidP="0044123A">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8140C8"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140C8" w:rsidRPr="00EE3F36" w:rsidRDefault="00494E3F"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140C8" w:rsidRPr="008303EB" w:rsidRDefault="008140C8" w:rsidP="00E02C8D">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140C8" w:rsidRPr="008303EB" w:rsidRDefault="008140C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140C8" w:rsidRDefault="008140C8" w:rsidP="0044123A">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9705C" w:rsidRPr="0000215B" w:rsidTr="0089705C">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9705C" w:rsidRPr="008303EB" w:rsidRDefault="00AD0FA4"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71"/>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9705C"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89705C" w:rsidRPr="008303EB"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553"/>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9705C"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89705C" w:rsidRPr="00EE3F36" w:rsidRDefault="0089705C"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494E3F">
        <w:trPr>
          <w:trHeight w:val="284"/>
        </w:trPr>
        <w:tc>
          <w:tcPr>
            <w:tcW w:w="1560"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9705C" w:rsidRPr="008303EB" w:rsidRDefault="00355BFC" w:rsidP="000F47EB">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9705C"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w:t>
            </w:r>
            <w:r w:rsidR="00F544B2">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89705C" w:rsidRPr="008303EB" w:rsidRDefault="0089705C"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89705C" w:rsidRPr="0000215B" w:rsidTr="008140C8">
        <w:trPr>
          <w:trHeight w:val="412"/>
        </w:trPr>
        <w:tc>
          <w:tcPr>
            <w:tcW w:w="1560"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89705C" w:rsidRPr="008303EB" w:rsidRDefault="0089705C"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9705C" w:rsidRPr="00EE3F36"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89705C" w:rsidRPr="008303EB" w:rsidRDefault="0089705C"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89705C" w:rsidRDefault="0089705C"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00215B" w:rsidTr="0089705C">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835" w:type="dxa"/>
            <w:vMerge w:val="restart"/>
            <w:tcBorders>
              <w:top w:val="nil"/>
              <w:left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992"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258"/>
        </w:trPr>
        <w:tc>
          <w:tcPr>
            <w:tcW w:w="1560"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992"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431"/>
        </w:trPr>
        <w:tc>
          <w:tcPr>
            <w:tcW w:w="1560"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992" w:type="dxa"/>
            <w:tcBorders>
              <w:top w:val="nil"/>
              <w:left w:val="nil"/>
              <w:bottom w:val="single" w:sz="4" w:space="0" w:color="auto"/>
              <w:right w:val="single" w:sz="4" w:space="0" w:color="auto"/>
            </w:tcBorders>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339"/>
        </w:trPr>
        <w:tc>
          <w:tcPr>
            <w:tcW w:w="1560"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124F68" w:rsidRPr="008303EB" w:rsidRDefault="00124F68"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8140C8">
        <w:trPr>
          <w:trHeight w:val="407"/>
        </w:trPr>
        <w:tc>
          <w:tcPr>
            <w:tcW w:w="1560" w:type="dxa"/>
            <w:vMerge/>
            <w:tcBorders>
              <w:left w:val="single" w:sz="4" w:space="0" w:color="auto"/>
              <w:bottom w:val="single" w:sz="4" w:space="0" w:color="000000"/>
              <w:right w:val="single" w:sz="4" w:space="0" w:color="auto"/>
            </w:tcBorders>
            <w:vAlign w:val="center"/>
          </w:tcPr>
          <w:p w:rsidR="00F544B2" w:rsidRPr="008303EB" w:rsidRDefault="00F544B2"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F544B2" w:rsidRPr="008303EB" w:rsidRDefault="00F544B2" w:rsidP="0044123A">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F544B2" w:rsidRPr="008303EB" w:rsidRDefault="00F544B2" w:rsidP="0044123A">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544B2" w:rsidRPr="0000215B" w:rsidTr="00F544B2">
        <w:trPr>
          <w:trHeight w:val="410"/>
        </w:trPr>
        <w:tc>
          <w:tcPr>
            <w:tcW w:w="1560" w:type="dxa"/>
            <w:vMerge w:val="restart"/>
            <w:tcBorders>
              <w:top w:val="nil"/>
              <w:left w:val="single" w:sz="4" w:space="0" w:color="auto"/>
              <w:right w:val="single" w:sz="4" w:space="0" w:color="auto"/>
            </w:tcBorders>
            <w:shd w:val="clear" w:color="auto" w:fill="auto"/>
            <w:vAlign w:val="center"/>
            <w:hideMark/>
          </w:tcPr>
          <w:p w:rsidR="00F544B2" w:rsidRPr="008303EB" w:rsidRDefault="00F544B2" w:rsidP="0044123A">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8303EB">
              <w:rPr>
                <w:rFonts w:ascii="Times New Roman" w:eastAsia="Times New Roman" w:hAnsi="Times New Roman" w:cs="Times New Roman"/>
                <w:color w:val="000000"/>
                <w:lang w:eastAsia="ru-RU"/>
              </w:rPr>
              <w:t>Подпрограмма 2</w:t>
            </w:r>
          </w:p>
        </w:tc>
        <w:tc>
          <w:tcPr>
            <w:tcW w:w="2835" w:type="dxa"/>
            <w:vMerge w:val="restart"/>
            <w:tcBorders>
              <w:top w:val="nil"/>
              <w:left w:val="single" w:sz="4" w:space="0" w:color="auto"/>
              <w:right w:val="single" w:sz="4" w:space="0" w:color="auto"/>
            </w:tcBorders>
            <w:shd w:val="clear" w:color="auto" w:fill="auto"/>
            <w:hideMark/>
          </w:tcPr>
          <w:p w:rsidR="00F544B2" w:rsidRPr="008303EB" w:rsidRDefault="00F544B2"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F544B2" w:rsidRPr="008303EB" w:rsidRDefault="00F544B2" w:rsidP="0044123A">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F544B2" w:rsidRPr="008303EB" w:rsidRDefault="00F544B2"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F544B2" w:rsidRPr="008303EB" w:rsidRDefault="00F544B2" w:rsidP="00F544B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Pr="008303EB" w:rsidRDefault="00F544B2" w:rsidP="0044123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494E3F">
        <w:trPr>
          <w:trHeight w:val="284"/>
        </w:trPr>
        <w:tc>
          <w:tcPr>
            <w:tcW w:w="1560"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355BF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F544B2" w:rsidRPr="008303EB" w:rsidRDefault="00F544B2" w:rsidP="00124F6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w:t>
            </w:r>
            <w:r w:rsidR="00124F68">
              <w:rPr>
                <w:rFonts w:ascii="Times New Roman" w:hAnsi="Times New Roman" w:cs="Times New Roman"/>
                <w:sz w:val="20"/>
                <w:szCs w:val="20"/>
              </w:rPr>
              <w:t>8177</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494E3F">
        <w:trPr>
          <w:trHeight w:val="582"/>
        </w:trPr>
        <w:tc>
          <w:tcPr>
            <w:tcW w:w="1560"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E60CD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F544B2" w:rsidRPr="008303EB" w:rsidRDefault="00F544B2" w:rsidP="00124F6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r w:rsidR="00124F68">
              <w:rPr>
                <w:rFonts w:ascii="Times New Roman" w:hAnsi="Times New Roman" w:cs="Times New Roman"/>
                <w:sz w:val="20"/>
                <w:szCs w:val="20"/>
              </w:rPr>
              <w:t>97715</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494E3F">
        <w:trPr>
          <w:trHeight w:val="255"/>
        </w:trPr>
        <w:tc>
          <w:tcPr>
            <w:tcW w:w="1560"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F544B2" w:rsidRPr="008303EB" w:rsidRDefault="00F544B2"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F544B2" w:rsidRPr="008303EB" w:rsidRDefault="00F544B2" w:rsidP="00124F6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w:t>
            </w:r>
            <w:r w:rsidR="00124F68">
              <w:rPr>
                <w:rFonts w:ascii="Times New Roman" w:eastAsia="Times New Roman" w:hAnsi="Times New Roman" w:cs="Times New Roman"/>
                <w:color w:val="000000"/>
                <w:sz w:val="20"/>
                <w:szCs w:val="20"/>
                <w:lang w:eastAsia="ru-RU"/>
              </w:rPr>
              <w:t>886</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Pr="008303EB" w:rsidRDefault="00F544B2"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8140C8">
        <w:trPr>
          <w:trHeight w:val="546"/>
        </w:trPr>
        <w:tc>
          <w:tcPr>
            <w:tcW w:w="1560" w:type="dxa"/>
            <w:vMerge/>
            <w:tcBorders>
              <w:left w:val="single" w:sz="4" w:space="0" w:color="auto"/>
              <w:bottom w:val="single" w:sz="4" w:space="0" w:color="000000"/>
              <w:right w:val="single" w:sz="4" w:space="0" w:color="auto"/>
            </w:tcBorders>
            <w:vAlign w:val="center"/>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F544B2" w:rsidRPr="008303EB" w:rsidRDefault="00F544B2" w:rsidP="00773C76">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F544B2" w:rsidRDefault="00F544B2"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Default="00F544B2"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24F68" w:rsidRPr="0000215B" w:rsidTr="00F544B2">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124F68" w:rsidRPr="008303EB" w:rsidRDefault="00124F68" w:rsidP="00773C76">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124F68" w:rsidRPr="008303EB" w:rsidRDefault="00124F68" w:rsidP="00A17468">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single" w:sz="4" w:space="0" w:color="auto"/>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270"/>
        </w:trPr>
        <w:tc>
          <w:tcPr>
            <w:tcW w:w="1560"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24F68" w:rsidRPr="008303EB" w:rsidRDefault="00124F68" w:rsidP="00C811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569"/>
        </w:trPr>
        <w:tc>
          <w:tcPr>
            <w:tcW w:w="1560"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00215B" w:rsidTr="00494E3F">
        <w:trPr>
          <w:trHeight w:val="195"/>
        </w:trPr>
        <w:tc>
          <w:tcPr>
            <w:tcW w:w="1560"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24F68" w:rsidRPr="008303EB" w:rsidRDefault="00124F68"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24F68" w:rsidRPr="008303EB" w:rsidRDefault="00124F68" w:rsidP="00F5774F">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124F68" w:rsidRPr="008303EB" w:rsidRDefault="00124F68" w:rsidP="001274C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124F68" w:rsidRPr="008303EB" w:rsidRDefault="00124F68" w:rsidP="000D3B73">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24F68" w:rsidRPr="008303EB"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00215B" w:rsidTr="008140C8">
        <w:trPr>
          <w:trHeight w:val="465"/>
        </w:trPr>
        <w:tc>
          <w:tcPr>
            <w:tcW w:w="1560" w:type="dxa"/>
            <w:tcBorders>
              <w:top w:val="nil"/>
              <w:left w:val="single" w:sz="4" w:space="0" w:color="auto"/>
              <w:bottom w:val="single" w:sz="4" w:space="0" w:color="auto"/>
              <w:right w:val="single" w:sz="4" w:space="0" w:color="auto"/>
            </w:tcBorders>
            <w:vAlign w:val="center"/>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F544B2" w:rsidRPr="008303EB" w:rsidRDefault="00F544B2" w:rsidP="00773C76">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F544B2" w:rsidRPr="008303EB" w:rsidRDefault="00F544B2" w:rsidP="00F5774F">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F544B2" w:rsidRDefault="00F544B2"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2A449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F544B2" w:rsidRDefault="00F544B2" w:rsidP="000F5BA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8303EB" w:rsidRDefault="008303EB" w:rsidP="008303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w:t>
      </w:r>
      <w:r w:rsidR="00F5774F">
        <w:rPr>
          <w:rFonts w:ascii="Times New Roman" w:eastAsia="Times New Roman" w:hAnsi="Times New Roman" w:cs="Times New Roman"/>
          <w:sz w:val="24"/>
          <w:szCs w:val="24"/>
          <w:lang w:eastAsia="ru-RU"/>
        </w:rPr>
        <w:t xml:space="preserve">нормативно правовых актов об утверждении </w:t>
      </w:r>
      <w:r>
        <w:rPr>
          <w:rFonts w:ascii="Times New Roman" w:eastAsia="Times New Roman" w:hAnsi="Times New Roman" w:cs="Times New Roman"/>
          <w:sz w:val="24"/>
          <w:szCs w:val="24"/>
          <w:lang w:eastAsia="ru-RU"/>
        </w:rPr>
        <w:t xml:space="preserve"> </w:t>
      </w:r>
      <w:r w:rsidR="00F5774F">
        <w:rPr>
          <w:rFonts w:ascii="Times New Roman" w:eastAsia="Times New Roman" w:hAnsi="Times New Roman" w:cs="Times New Roman"/>
          <w:sz w:val="24"/>
          <w:szCs w:val="24"/>
          <w:lang w:eastAsia="ru-RU"/>
        </w:rPr>
        <w:t xml:space="preserve">соответствующих </w:t>
      </w:r>
      <w:r>
        <w:rPr>
          <w:rFonts w:ascii="Times New Roman" w:eastAsia="Times New Roman" w:hAnsi="Times New Roman" w:cs="Times New Roman"/>
          <w:sz w:val="24"/>
          <w:szCs w:val="24"/>
          <w:lang w:eastAsia="ru-RU"/>
        </w:rPr>
        <w:t>бюджет</w:t>
      </w:r>
      <w:r w:rsidR="00F5774F">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на очередной финансовый год и с учетом изменений в текущем финансовом году. </w:t>
      </w:r>
    </w:p>
    <w:p w:rsidR="0044123A" w:rsidRDefault="00F5774F"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000804CD" w:rsidRPr="000804CD">
        <w:rPr>
          <w:rFonts w:ascii="Times New Roman" w:hAnsi="Times New Roman" w:cs="Times New Roman"/>
          <w:sz w:val="24"/>
          <w:szCs w:val="24"/>
        </w:rPr>
        <w:t>Софинансирование</w:t>
      </w:r>
      <w:proofErr w:type="spellEnd"/>
      <w:r w:rsidR="000804CD" w:rsidRPr="000804CD">
        <w:rPr>
          <w:rFonts w:ascii="Times New Roman" w:hAnsi="Times New Roman" w:cs="Times New Roman"/>
          <w:sz w:val="24"/>
          <w:szCs w:val="24"/>
        </w:rPr>
        <w:t xml:space="preserve"> Программы</w:t>
      </w:r>
      <w:r w:rsidR="00A17468">
        <w:rPr>
          <w:rFonts w:ascii="Times New Roman" w:hAnsi="Times New Roman" w:cs="Times New Roman"/>
          <w:sz w:val="24"/>
          <w:szCs w:val="24"/>
        </w:rPr>
        <w:t xml:space="preserve"> производится за счет</w:t>
      </w:r>
      <w:r w:rsidR="000804CD">
        <w:t xml:space="preserve"> с</w:t>
      </w:r>
      <w:r w:rsidR="00B47C00">
        <w:rPr>
          <w:rFonts w:ascii="Times New Roman" w:eastAsia="Times New Roman" w:hAnsi="Times New Roman" w:cs="Times New Roman"/>
          <w:sz w:val="24"/>
          <w:szCs w:val="24"/>
          <w:lang w:eastAsia="ru-RU"/>
        </w:rPr>
        <w:t>редств бюджета</w:t>
      </w:r>
      <w:r w:rsidR="000804CD">
        <w:rPr>
          <w:rFonts w:ascii="Times New Roman" w:eastAsia="Times New Roman" w:hAnsi="Times New Roman" w:cs="Times New Roman"/>
          <w:sz w:val="24"/>
          <w:szCs w:val="24"/>
          <w:lang w:eastAsia="ru-RU"/>
        </w:rPr>
        <w:t xml:space="preserve"> </w:t>
      </w:r>
      <w:r w:rsidR="00A17468">
        <w:rPr>
          <w:rFonts w:ascii="Times New Roman" w:eastAsia="Times New Roman" w:hAnsi="Times New Roman" w:cs="Times New Roman"/>
          <w:sz w:val="24"/>
          <w:szCs w:val="24"/>
          <w:lang w:eastAsia="ru-RU"/>
        </w:rPr>
        <w:t>МО</w:t>
      </w:r>
      <w:r w:rsidR="00B47C00">
        <w:rPr>
          <w:rFonts w:ascii="Times New Roman" w:eastAsia="Times New Roman" w:hAnsi="Times New Roman" w:cs="Times New Roman"/>
          <w:sz w:val="24"/>
          <w:szCs w:val="24"/>
          <w:lang w:eastAsia="ru-RU"/>
        </w:rPr>
        <w:t xml:space="preserve"> «Бичурский район»</w:t>
      </w:r>
      <w:r w:rsidR="000804CD">
        <w:rPr>
          <w:rFonts w:ascii="Times New Roman" w:eastAsia="Times New Roman" w:hAnsi="Times New Roman" w:cs="Times New Roman"/>
          <w:sz w:val="24"/>
          <w:szCs w:val="24"/>
          <w:lang w:eastAsia="ru-RU"/>
        </w:rPr>
        <w:t xml:space="preserve"> - в размере 0,1 %</w:t>
      </w:r>
      <w:r w:rsidR="000804CD" w:rsidRPr="00415D0F">
        <w:rPr>
          <w:rFonts w:ascii="Times New Roman" w:eastAsia="Times New Roman" w:hAnsi="Times New Roman" w:cs="Times New Roman"/>
          <w:sz w:val="24"/>
          <w:szCs w:val="24"/>
          <w:lang w:eastAsia="ru-RU"/>
        </w:rPr>
        <w:t xml:space="preserve">. </w:t>
      </w:r>
    </w:p>
    <w:p w:rsidR="001274C6" w:rsidRPr="006349C7"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274C6"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00C34EE9" w:rsidRPr="00C34EE9">
        <w:rPr>
          <w:rFonts w:ascii="Times New Roman" w:hAnsi="Times New Roman" w:cs="Times New Roman"/>
          <w:sz w:val="24"/>
          <w:szCs w:val="24"/>
        </w:rPr>
        <w:t xml:space="preserve"> </w:t>
      </w:r>
      <w:proofErr w:type="spellStart"/>
      <w:r w:rsidR="00C34EE9" w:rsidRPr="000804CD">
        <w:rPr>
          <w:rFonts w:ascii="Times New Roman" w:hAnsi="Times New Roman" w:cs="Times New Roman"/>
          <w:sz w:val="24"/>
          <w:szCs w:val="24"/>
        </w:rPr>
        <w:t>Софинансирование</w:t>
      </w:r>
      <w:proofErr w:type="spellEnd"/>
      <w:r w:rsidR="00C34EE9" w:rsidRPr="000804CD">
        <w:rPr>
          <w:rFonts w:ascii="Times New Roman" w:hAnsi="Times New Roman" w:cs="Times New Roman"/>
          <w:sz w:val="24"/>
          <w:szCs w:val="24"/>
        </w:rPr>
        <w:t xml:space="preserve"> Программы</w:t>
      </w:r>
      <w:r w:rsidR="00C34EE9">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w:t>
      </w:r>
      <w:r w:rsidR="00C34EE9">
        <w:rPr>
          <w:rFonts w:ascii="Times New Roman" w:eastAsia="Times New Roman" w:hAnsi="Times New Roman" w:cs="Times New Roman"/>
          <w:sz w:val="24"/>
          <w:szCs w:val="24"/>
          <w:lang w:eastAsia="ru-RU"/>
        </w:rPr>
        <w:t xml:space="preserve">заинтересованных лиц и </w:t>
      </w:r>
      <w:proofErr w:type="spellStart"/>
      <w:r w:rsidR="00C34EE9">
        <w:rPr>
          <w:rFonts w:ascii="Times New Roman" w:eastAsia="Times New Roman" w:hAnsi="Times New Roman" w:cs="Times New Roman"/>
          <w:sz w:val="24"/>
          <w:szCs w:val="24"/>
          <w:lang w:eastAsia="ru-RU"/>
        </w:rPr>
        <w:t>софинансирование</w:t>
      </w:r>
      <w:proofErr w:type="spellEnd"/>
      <w:r w:rsidR="00C34EE9">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00C34EE9">
        <w:rPr>
          <w:rFonts w:ascii="Times New Roman" w:eastAsia="Times New Roman" w:hAnsi="Times New Roman" w:cs="Times New Roman"/>
          <w:sz w:val="24"/>
          <w:szCs w:val="24"/>
          <w:lang w:eastAsia="ru-RU"/>
        </w:rPr>
        <w:t>дств сп</w:t>
      </w:r>
      <w:proofErr w:type="gramEnd"/>
      <w:r w:rsidR="00C34EE9">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8A286A"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период </w:t>
      </w:r>
      <w:r w:rsidR="008A286A" w:rsidRPr="00415D0F">
        <w:rPr>
          <w:rFonts w:ascii="Times New Roman" w:eastAsia="Times New Roman" w:hAnsi="Times New Roman" w:cs="Times New Roman"/>
          <w:sz w:val="24"/>
          <w:szCs w:val="24"/>
          <w:lang w:eastAsia="ru-RU"/>
        </w:rPr>
        <w:t xml:space="preserve">  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008A286A" w:rsidRPr="00415D0F">
        <w:rPr>
          <w:rFonts w:ascii="Times New Roman" w:eastAsia="Times New Roman" w:hAnsi="Times New Roman" w:cs="Times New Roman"/>
          <w:sz w:val="24"/>
          <w:szCs w:val="24"/>
          <w:lang w:eastAsia="ru-RU"/>
        </w:rPr>
        <w:t>202</w:t>
      </w:r>
      <w:r w:rsidR="00120A87">
        <w:rPr>
          <w:rFonts w:ascii="Times New Roman" w:eastAsia="Times New Roman" w:hAnsi="Times New Roman" w:cs="Times New Roman"/>
          <w:sz w:val="24"/>
          <w:szCs w:val="24"/>
          <w:lang w:eastAsia="ru-RU"/>
        </w:rPr>
        <w:t>4</w:t>
      </w:r>
      <w:r w:rsidR="008A286A"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8A286A" w:rsidRPr="00415D0F">
        <w:rPr>
          <w:rFonts w:ascii="Times New Roman" w:eastAsia="Times New Roman" w:hAnsi="Times New Roman" w:cs="Times New Roman"/>
          <w:sz w:val="24"/>
          <w:szCs w:val="24"/>
          <w:lang w:eastAsia="ru-RU"/>
        </w:rPr>
        <w:t xml:space="preserve">. </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713964">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6"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76384D">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9"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713964">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6"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76384D">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9"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920B83" w:rsidRDefault="00920B83"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r w:rsidR="00B409DB" w:rsidRPr="0029492F" w:rsidTr="00A35223">
        <w:tblPrEx>
          <w:tblCellMar>
            <w:left w:w="108" w:type="dxa"/>
            <w:right w:w="108" w:type="dxa"/>
          </w:tblCellMar>
        </w:tblPrEx>
        <w:trPr>
          <w:trHeight w:val="375"/>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ind w:right="4524"/>
              <w:jc w:val="right"/>
              <w:rPr>
                <w:sz w:val="22"/>
                <w:szCs w:val="22"/>
              </w:rPr>
            </w:pPr>
          </w:p>
        </w:tc>
      </w:tr>
      <w:tr w:rsidR="00B409DB" w:rsidRPr="0029492F" w:rsidTr="00A35223">
        <w:tblPrEx>
          <w:tblCellMar>
            <w:left w:w="108" w:type="dxa"/>
            <w:right w:w="108" w:type="dxa"/>
          </w:tblCellMar>
        </w:tblPrEx>
        <w:trPr>
          <w:trHeight w:val="300"/>
        </w:trPr>
        <w:tc>
          <w:tcPr>
            <w:tcW w:w="14049" w:type="dxa"/>
            <w:gridSpan w:val="6"/>
            <w:tcBorders>
              <w:top w:val="nil"/>
              <w:left w:val="nil"/>
              <w:bottom w:val="nil"/>
              <w:right w:val="nil"/>
            </w:tcBorders>
            <w:shd w:val="clear" w:color="auto" w:fill="auto"/>
            <w:noWrap/>
          </w:tcPr>
          <w:p w:rsidR="00B409DB" w:rsidRPr="000804CD" w:rsidRDefault="00B409DB" w:rsidP="00755B01">
            <w:pPr>
              <w:pStyle w:val="ab"/>
              <w:tabs>
                <w:tab w:val="left" w:pos="9328"/>
              </w:tabs>
              <w:ind w:right="4524"/>
              <w:jc w:val="right"/>
              <w:rPr>
                <w:sz w:val="22"/>
                <w:szCs w:val="22"/>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FA0AFD" w:rsidRPr="0064047D" w:rsidRDefault="00FA0AFD" w:rsidP="00A35223">
            <w:pPr>
              <w:pStyle w:val="ab"/>
              <w:rPr>
                <w:sz w:val="24"/>
                <w:szCs w:val="24"/>
              </w:rPr>
            </w:pPr>
            <w:r w:rsidRPr="0064047D">
              <w:rPr>
                <w:sz w:val="24"/>
                <w:szCs w:val="24"/>
              </w:rPr>
              <w:t>2018-202</w:t>
            </w:r>
            <w:r w:rsidR="00A35223">
              <w:rPr>
                <w:sz w:val="24"/>
                <w:szCs w:val="24"/>
              </w:rPr>
              <w:t>4</w:t>
            </w:r>
            <w:r w:rsidRPr="0064047D">
              <w:rPr>
                <w:sz w:val="24"/>
                <w:szCs w:val="24"/>
              </w:rPr>
              <w:t xml:space="preserve"> года</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C83B8A">
                  <w:pPr>
                    <w:pStyle w:val="ab"/>
                    <w:rPr>
                      <w:sz w:val="20"/>
                    </w:rPr>
                  </w:pPr>
                  <w:r>
                    <w:rPr>
                      <w:sz w:val="20"/>
                    </w:rPr>
                    <w:t>687,</w:t>
                  </w:r>
                  <w:r w:rsidR="00C83B8A">
                    <w:rPr>
                      <w:sz w:val="20"/>
                    </w:rPr>
                    <w:t>98434</w:t>
                  </w:r>
                </w:p>
              </w:tc>
              <w:tc>
                <w:tcPr>
                  <w:tcW w:w="1417" w:type="dxa"/>
                </w:tcPr>
                <w:p w:rsidR="0089705C" w:rsidRPr="0064047D" w:rsidRDefault="00F544B2" w:rsidP="00C83B8A">
                  <w:pPr>
                    <w:pStyle w:val="ab"/>
                    <w:rPr>
                      <w:sz w:val="20"/>
                    </w:rPr>
                  </w:pPr>
                  <w:r>
                    <w:rPr>
                      <w:sz w:val="20"/>
                    </w:rPr>
                    <w:t>14,</w:t>
                  </w:r>
                  <w:r w:rsidR="00C83B8A">
                    <w:rPr>
                      <w:sz w:val="20"/>
                    </w:rPr>
                    <w:t>05484</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t>2022</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1E1269">
                  <w:pPr>
                    <w:pStyle w:val="ab"/>
                    <w:rPr>
                      <w:sz w:val="20"/>
                    </w:rPr>
                  </w:pPr>
                  <w:r>
                    <w:rPr>
                      <w:color w:val="000000"/>
                      <w:sz w:val="20"/>
                    </w:rPr>
                    <w:t>1,9833</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2023</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89705C" w:rsidP="0089705C">
                  <w:pPr>
                    <w:pStyle w:val="ab"/>
                    <w:rPr>
                      <w:sz w:val="20"/>
                    </w:rPr>
                  </w:pPr>
                  <w:r>
                    <w:rPr>
                      <w:color w:val="000000"/>
                      <w:sz w:val="20"/>
                    </w:rPr>
                    <w:t>1943,7</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89705C">
                  <w:pPr>
                    <w:pStyle w:val="ab"/>
                    <w:rPr>
                      <w:sz w:val="20"/>
                    </w:rPr>
                  </w:pPr>
                  <w:r>
                    <w:rPr>
                      <w:color w:val="000000"/>
                      <w:sz w:val="20"/>
                    </w:rPr>
                    <w:t>1,9833</w:t>
                  </w:r>
                </w:p>
              </w:tc>
              <w:tc>
                <w:tcPr>
                  <w:tcW w:w="1134" w:type="dxa"/>
                </w:tcPr>
                <w:p w:rsidR="0089705C" w:rsidRPr="00075569" w:rsidRDefault="0089705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2024</w:t>
                  </w:r>
                </w:p>
              </w:tc>
              <w:tc>
                <w:tcPr>
                  <w:tcW w:w="1186" w:type="dxa"/>
                </w:tcPr>
                <w:p w:rsidR="0089705C" w:rsidRDefault="0089705C" w:rsidP="00755B01">
                  <w:pPr>
                    <w:pStyle w:val="ab"/>
                    <w:rPr>
                      <w:color w:val="000000"/>
                      <w:sz w:val="20"/>
                    </w:rPr>
                  </w:pPr>
                  <w:r>
                    <w:rPr>
                      <w:color w:val="000000"/>
                      <w:sz w:val="20"/>
                    </w:rPr>
                    <w:t>0*</w:t>
                  </w:r>
                </w:p>
              </w:tc>
              <w:tc>
                <w:tcPr>
                  <w:tcW w:w="1224" w:type="dxa"/>
                </w:tcPr>
                <w:p w:rsidR="0089705C" w:rsidRDefault="0089705C" w:rsidP="000F5BA5">
                  <w:pPr>
                    <w:pStyle w:val="ab"/>
                    <w:rPr>
                      <w:color w:val="000000"/>
                      <w:sz w:val="20"/>
                    </w:rPr>
                  </w:pPr>
                  <w:r>
                    <w:rPr>
                      <w:color w:val="000000"/>
                      <w:sz w:val="20"/>
                    </w:rPr>
                    <w:t>0*</w:t>
                  </w:r>
                </w:p>
              </w:tc>
              <w:tc>
                <w:tcPr>
                  <w:tcW w:w="1417"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отношение  фактически выполненного объема работ  </w:t>
            </w:r>
            <w:proofErr w:type="gramStart"/>
            <w:r w:rsidRPr="00CB20C4">
              <w:rPr>
                <w:rFonts w:ascii="Times New Roman" w:hAnsi="Times New Roman" w:cs="Times New Roman"/>
              </w:rPr>
              <w:t>к</w:t>
            </w:r>
            <w:proofErr w:type="gramEnd"/>
            <w:r w:rsidRPr="00CB20C4">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124F68" w:rsidRPr="00987A51" w:rsidTr="0089705C">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198" w:type="dxa"/>
            <w:vMerge w:val="restart"/>
            <w:tcBorders>
              <w:top w:val="nil"/>
              <w:left w:val="single" w:sz="4" w:space="0" w:color="auto"/>
              <w:right w:val="single" w:sz="4" w:space="0" w:color="auto"/>
            </w:tcBorders>
            <w:shd w:val="clear" w:color="auto" w:fill="auto"/>
            <w:hideMark/>
          </w:tcPr>
          <w:p w:rsidR="00124F68" w:rsidRPr="008303EB" w:rsidRDefault="00124F6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124F68" w:rsidRPr="008303EB" w:rsidRDefault="00124F6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289"/>
        </w:trPr>
        <w:tc>
          <w:tcPr>
            <w:tcW w:w="1135"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6F663E"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124F68" w:rsidRDefault="00124F68" w:rsidP="001764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499"/>
        </w:trPr>
        <w:tc>
          <w:tcPr>
            <w:tcW w:w="1135"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6F663E"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24F68" w:rsidRPr="00CA4BF7" w:rsidRDefault="00124F6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124F68" w:rsidRDefault="00124F6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295"/>
        </w:trPr>
        <w:tc>
          <w:tcPr>
            <w:tcW w:w="1135"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6F663E"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9B2C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124F68" w:rsidRDefault="00124F6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987A51" w:rsidTr="007E1800">
        <w:trPr>
          <w:trHeight w:val="295"/>
        </w:trPr>
        <w:tc>
          <w:tcPr>
            <w:tcW w:w="1135" w:type="dxa"/>
            <w:vMerge/>
            <w:tcBorders>
              <w:left w:val="single" w:sz="4" w:space="0" w:color="auto"/>
              <w:bottom w:val="single" w:sz="4" w:space="0" w:color="000000"/>
              <w:right w:val="single" w:sz="4" w:space="0" w:color="auto"/>
            </w:tcBorders>
            <w:vAlign w:val="center"/>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F544B2" w:rsidRPr="008303EB" w:rsidRDefault="00F544B2"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124F68" w:rsidRPr="008303EB" w:rsidRDefault="00124F6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124F68" w:rsidRPr="008303EB" w:rsidRDefault="00124F6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7"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124F68" w:rsidRPr="008303EB" w:rsidRDefault="00124F6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124F68" w:rsidRPr="00CA4BF7" w:rsidRDefault="00124F6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7" w:type="dxa"/>
            <w:tcBorders>
              <w:top w:val="nil"/>
              <w:left w:val="nil"/>
              <w:bottom w:val="single" w:sz="4" w:space="0" w:color="auto"/>
              <w:right w:val="single" w:sz="4" w:space="0" w:color="auto"/>
            </w:tcBorders>
          </w:tcPr>
          <w:p w:rsidR="00124F68" w:rsidRPr="008303EB"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1418" w:type="dxa"/>
            <w:tcBorders>
              <w:top w:val="nil"/>
              <w:left w:val="nil"/>
              <w:bottom w:val="single" w:sz="4" w:space="0" w:color="auto"/>
              <w:right w:val="single" w:sz="4" w:space="0" w:color="auto"/>
            </w:tcBorders>
          </w:tcPr>
          <w:p w:rsidR="00124F68"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24F68" w:rsidRPr="00CA4BF7" w:rsidRDefault="00124F68"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7" w:type="dxa"/>
            <w:tcBorders>
              <w:top w:val="nil"/>
              <w:left w:val="nil"/>
              <w:bottom w:val="single" w:sz="4" w:space="0" w:color="auto"/>
              <w:right w:val="single" w:sz="4" w:space="0" w:color="auto"/>
            </w:tcBorders>
          </w:tcPr>
          <w:p w:rsidR="00124F68" w:rsidRPr="00EE3F36" w:rsidRDefault="00124F6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124F68"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24F68"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24F68" w:rsidRPr="00CA4BF7" w:rsidRDefault="00124F6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0D3B73">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7"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124F68" w:rsidRDefault="00124F6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544B2"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F544B2" w:rsidRPr="008303EB" w:rsidRDefault="00F544B2"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F544B2" w:rsidRDefault="00F544B2"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741680" w:rsidP="007416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2018-2024</w:t>
            </w:r>
            <w:r w:rsidR="00FA0AFD" w:rsidRPr="00415D0F">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1173,68177</w:t>
                  </w:r>
                </w:p>
              </w:tc>
              <w:tc>
                <w:tcPr>
                  <w:tcW w:w="1418" w:type="dxa"/>
                </w:tcPr>
                <w:p w:rsidR="00A548F6" w:rsidRPr="008140C8" w:rsidRDefault="00C83B8A"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23,97715</w:t>
                  </w:r>
                </w:p>
              </w:tc>
              <w:tc>
                <w:tcPr>
                  <w:tcW w:w="1134" w:type="dxa"/>
                </w:tcPr>
                <w:p w:rsidR="00A548F6" w:rsidRPr="008140C8" w:rsidRDefault="00BE7A75"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C83B8A">
                    <w:rPr>
                      <w:rFonts w:ascii="Times New Roman" w:hAnsi="Times New Roman" w:cs="Times New Roman"/>
                      <w:sz w:val="22"/>
                      <w:szCs w:val="22"/>
                    </w:rPr>
                    <w:t>886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7"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8"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отношение  фактически выполненного объема работ  </w:t>
            </w:r>
            <w:proofErr w:type="gramStart"/>
            <w:r w:rsidRPr="005D68F0">
              <w:rPr>
                <w:rFonts w:ascii="Times New Roman" w:hAnsi="Times New Roman" w:cs="Times New Roman"/>
                <w:sz w:val="22"/>
                <w:szCs w:val="22"/>
              </w:rPr>
              <w:t>к</w:t>
            </w:r>
            <w:proofErr w:type="gramEnd"/>
            <w:r w:rsidRPr="005D68F0">
              <w:rPr>
                <w:rFonts w:ascii="Times New Roman" w:hAnsi="Times New Roman" w:cs="Times New Roman"/>
                <w:sz w:val="22"/>
                <w:szCs w:val="22"/>
              </w:rPr>
              <w:t xml:space="preserve">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0D3B7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459"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992"/>
        <w:gridCol w:w="709"/>
      </w:tblGrid>
      <w:tr w:rsidR="000F5BA5" w:rsidRPr="00987A51" w:rsidTr="007343EE">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8140C8">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124F68" w:rsidRPr="00987A51" w:rsidTr="0089705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124F68" w:rsidRPr="000F3539" w:rsidRDefault="00124F6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124F68" w:rsidRPr="000F3539" w:rsidRDefault="00124F68"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CF18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9705C">
        <w:trPr>
          <w:trHeight w:val="222"/>
        </w:trPr>
        <w:tc>
          <w:tcPr>
            <w:tcW w:w="1701"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9705C">
        <w:trPr>
          <w:trHeight w:val="283"/>
        </w:trPr>
        <w:tc>
          <w:tcPr>
            <w:tcW w:w="1701"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9705C">
        <w:trPr>
          <w:trHeight w:val="265"/>
        </w:trPr>
        <w:tc>
          <w:tcPr>
            <w:tcW w:w="1701"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hideMark/>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124F6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544B2" w:rsidRPr="00987A51" w:rsidTr="008140C8">
        <w:trPr>
          <w:trHeight w:val="412"/>
        </w:trPr>
        <w:tc>
          <w:tcPr>
            <w:tcW w:w="1701" w:type="dxa"/>
            <w:vMerge/>
            <w:tcBorders>
              <w:left w:val="single" w:sz="4" w:space="0" w:color="auto"/>
              <w:bottom w:val="single" w:sz="4" w:space="0" w:color="000000"/>
              <w:right w:val="single" w:sz="4" w:space="0" w:color="auto"/>
            </w:tcBorders>
            <w:vAlign w:val="center"/>
          </w:tcPr>
          <w:p w:rsidR="00F544B2" w:rsidRPr="000F3539" w:rsidRDefault="00F544B2"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F544B2" w:rsidRPr="000F3539" w:rsidRDefault="00F544B2"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F544B2" w:rsidRPr="000F3539" w:rsidRDefault="00F544B2"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F544B2" w:rsidRDefault="00F544B2"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F544B2" w:rsidRDefault="00F544B2"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F544B2" w:rsidRDefault="00F544B2"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9705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124F68" w:rsidRPr="000F3539" w:rsidRDefault="00124F6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124F68" w:rsidRPr="000F3539" w:rsidRDefault="00124F68"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140C8">
        <w:trPr>
          <w:trHeight w:val="289"/>
        </w:trPr>
        <w:tc>
          <w:tcPr>
            <w:tcW w:w="1701" w:type="dxa"/>
            <w:vMerge/>
            <w:tcBorders>
              <w:top w:val="nil"/>
              <w:left w:val="single" w:sz="4" w:space="0" w:color="auto"/>
              <w:bottom w:val="single" w:sz="4" w:space="0" w:color="000000"/>
              <w:right w:val="single" w:sz="4" w:space="0" w:color="auto"/>
            </w:tcBorders>
            <w:vAlign w:val="center"/>
            <w:hideMark/>
          </w:tcPr>
          <w:p w:rsidR="00124F68" w:rsidRPr="00CA4BF7" w:rsidRDefault="00124F6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140C8">
        <w:trPr>
          <w:trHeight w:val="266"/>
        </w:trPr>
        <w:tc>
          <w:tcPr>
            <w:tcW w:w="1701" w:type="dxa"/>
            <w:vMerge/>
            <w:tcBorders>
              <w:top w:val="nil"/>
              <w:left w:val="single" w:sz="4" w:space="0" w:color="auto"/>
              <w:bottom w:val="single" w:sz="4" w:space="0" w:color="000000"/>
              <w:right w:val="single" w:sz="4" w:space="0" w:color="auto"/>
            </w:tcBorders>
            <w:vAlign w:val="center"/>
            <w:hideMark/>
          </w:tcPr>
          <w:p w:rsidR="00124F68" w:rsidRPr="00CA4BF7" w:rsidRDefault="00124F6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124F68" w:rsidRPr="00987A51" w:rsidTr="008140C8">
        <w:trPr>
          <w:trHeight w:val="303"/>
        </w:trPr>
        <w:tc>
          <w:tcPr>
            <w:tcW w:w="1701" w:type="dxa"/>
            <w:vMerge/>
            <w:tcBorders>
              <w:top w:val="nil"/>
              <w:left w:val="single" w:sz="4" w:space="0" w:color="auto"/>
              <w:bottom w:val="nil"/>
              <w:right w:val="single" w:sz="4" w:space="0" w:color="auto"/>
            </w:tcBorders>
            <w:vAlign w:val="center"/>
            <w:hideMark/>
          </w:tcPr>
          <w:p w:rsidR="00124F68" w:rsidRPr="00CA4BF7" w:rsidRDefault="00124F6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124F68" w:rsidRPr="000F3539" w:rsidRDefault="00124F6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tcPr>
          <w:p w:rsidR="00124F68" w:rsidRPr="008303EB" w:rsidRDefault="00124F6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0D3B73">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124F68" w:rsidRPr="008303EB" w:rsidRDefault="00124F6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124F68" w:rsidRDefault="00124F68"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544B2" w:rsidRPr="00987A51" w:rsidTr="00F40DDA">
        <w:trPr>
          <w:trHeight w:val="336"/>
        </w:trPr>
        <w:tc>
          <w:tcPr>
            <w:tcW w:w="1701" w:type="dxa"/>
            <w:tcBorders>
              <w:top w:val="nil"/>
              <w:left w:val="single" w:sz="4" w:space="0" w:color="auto"/>
              <w:bottom w:val="single" w:sz="4" w:space="0" w:color="000000"/>
              <w:right w:val="single" w:sz="4" w:space="0" w:color="auto"/>
            </w:tcBorders>
            <w:vAlign w:val="center"/>
          </w:tcPr>
          <w:p w:rsidR="00F544B2" w:rsidRPr="00CA4BF7" w:rsidRDefault="00F544B2"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F544B2" w:rsidRPr="000F3539" w:rsidRDefault="00F544B2"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F544B2" w:rsidRPr="000F3539" w:rsidRDefault="00F544B2"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F544B2" w:rsidRDefault="00F544B2"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F544B2" w:rsidRDefault="00F544B2"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F544B2" w:rsidRPr="008303EB" w:rsidRDefault="00F544B2"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F544B2" w:rsidRPr="00EE3F36" w:rsidRDefault="00F544B2"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F544B2" w:rsidRPr="008303EB" w:rsidRDefault="00F544B2"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F544B2" w:rsidRDefault="00F544B2"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0F5BA5">
          <w:pgSz w:w="16838" w:h="11906" w:orient="landscape"/>
          <w:pgMar w:top="1701"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9"/>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EC754C" w:rsidRDefault="00EC754C"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BA7E96" w:rsidRDefault="00BA7E96"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0361EF" w:rsidRDefault="000361EF" w:rsidP="00966FCB">
      <w:pPr>
        <w:pStyle w:val="ac"/>
        <w:spacing w:before="0" w:beforeAutospacing="0" w:after="0" w:afterAutospacing="0"/>
        <w:ind w:left="1416" w:firstLine="708"/>
        <w:jc w:val="cente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w:t>
            </w:r>
            <w:r w:rsidRPr="00BA7E96">
              <w:rPr>
                <w:rFonts w:ascii="Times New Roman" w:hAnsi="Times New Roman" w:cs="Times New Roman"/>
                <w:sz w:val="24"/>
                <w:szCs w:val="24"/>
              </w:rPr>
              <w:lastRenderedPageBreak/>
              <w:t xml:space="preserve">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2024 год * </w:t>
            </w:r>
            <w:r w:rsidR="002A449C">
              <w:rPr>
                <w:rFonts w:ascii="Times New Roman" w:hAnsi="Times New Roman" w:cs="Times New Roman"/>
                <w:sz w:val="24"/>
                <w:szCs w:val="24"/>
              </w:rPr>
              <w:lastRenderedPageBreak/>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w:t>
            </w:r>
            <w:r>
              <w:rPr>
                <w:rFonts w:ascii="Times New Roman" w:hAnsi="Times New Roman" w:cs="Times New Roman"/>
                <w:sz w:val="24"/>
                <w:szCs w:val="24"/>
              </w:rPr>
              <w:lastRenderedPageBreak/>
              <w:t>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w:t>
            </w:r>
            <w:r w:rsidRPr="00BA7E96">
              <w:rPr>
                <w:rFonts w:ascii="Times New Roman" w:hAnsi="Times New Roman" w:cs="Times New Roman"/>
                <w:sz w:val="24"/>
                <w:szCs w:val="24"/>
              </w:rPr>
              <w:lastRenderedPageBreak/>
              <w:t xml:space="preserve">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EC754C" w:rsidRDefault="00EC754C"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lastRenderedPageBreak/>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Pr="007154F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Консультант  сектора Строительства и ЖКХМКУ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E11177" w:rsidRDefault="00E11177" w:rsidP="00E11177">
      <w:pPr>
        <w:pStyle w:val="aa"/>
        <w:ind w:left="1068"/>
        <w:jc w:val="center"/>
        <w:rPr>
          <w:rFonts w:ascii="Times New Roman" w:hAnsi="Times New Roman" w:cs="Times New Roman"/>
          <w:sz w:val="28"/>
          <w:szCs w:val="28"/>
        </w:rPr>
      </w:pPr>
      <w:bookmarkStart w:id="1" w:name="_GoBack"/>
      <w:bookmarkEnd w:id="1"/>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78" w:rsidRDefault="000E7978">
      <w:pPr>
        <w:spacing w:after="0" w:line="240" w:lineRule="auto"/>
      </w:pPr>
      <w:r>
        <w:separator/>
      </w:r>
    </w:p>
  </w:endnote>
  <w:endnote w:type="continuationSeparator" w:id="0">
    <w:p w:rsidR="000E7978" w:rsidRDefault="000E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E3" w:rsidRDefault="00A604E3">
    <w:pPr>
      <w:pStyle w:val="ad"/>
      <w:jc w:val="right"/>
    </w:pPr>
  </w:p>
  <w:p w:rsidR="00A604E3" w:rsidRDefault="00A604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78" w:rsidRDefault="000E7978">
      <w:pPr>
        <w:spacing w:after="0" w:line="240" w:lineRule="auto"/>
      </w:pPr>
      <w:r>
        <w:separator/>
      </w:r>
    </w:p>
  </w:footnote>
  <w:footnote w:type="continuationSeparator" w:id="0">
    <w:p w:rsidR="000E7978" w:rsidRDefault="000E7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36"/>
  </w:num>
  <w:num w:numId="4">
    <w:abstractNumId w:val="2"/>
  </w:num>
  <w:num w:numId="5">
    <w:abstractNumId w:val="6"/>
  </w:num>
  <w:num w:numId="6">
    <w:abstractNumId w:val="12"/>
  </w:num>
  <w:num w:numId="7">
    <w:abstractNumId w:val="14"/>
  </w:num>
  <w:num w:numId="8">
    <w:abstractNumId w:val="1"/>
  </w:num>
  <w:num w:numId="9">
    <w:abstractNumId w:val="37"/>
  </w:num>
  <w:num w:numId="10">
    <w:abstractNumId w:val="28"/>
  </w:num>
  <w:num w:numId="11">
    <w:abstractNumId w:val="34"/>
  </w:num>
  <w:num w:numId="12">
    <w:abstractNumId w:val="31"/>
  </w:num>
  <w:num w:numId="13">
    <w:abstractNumId w:val="18"/>
  </w:num>
  <w:num w:numId="14">
    <w:abstractNumId w:val="1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4"/>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16"/>
  </w:num>
  <w:num w:numId="32">
    <w:abstractNumId w:val="26"/>
  </w:num>
  <w:num w:numId="33">
    <w:abstractNumId w:val="9"/>
  </w:num>
  <w:num w:numId="34">
    <w:abstractNumId w:val="33"/>
  </w:num>
  <w:num w:numId="35">
    <w:abstractNumId w:val="21"/>
  </w:num>
  <w:num w:numId="36">
    <w:abstractNumId w:val="23"/>
  </w:num>
  <w:num w:numId="37">
    <w:abstractNumId w:val="7"/>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7ACA"/>
    <w:rsid w:val="00075569"/>
    <w:rsid w:val="00076103"/>
    <w:rsid w:val="000804CD"/>
    <w:rsid w:val="00081743"/>
    <w:rsid w:val="000855C7"/>
    <w:rsid w:val="000863FA"/>
    <w:rsid w:val="00092766"/>
    <w:rsid w:val="000A143E"/>
    <w:rsid w:val="000A28C0"/>
    <w:rsid w:val="000B41BD"/>
    <w:rsid w:val="000B73AB"/>
    <w:rsid w:val="000C10C0"/>
    <w:rsid w:val="000C5147"/>
    <w:rsid w:val="000E014F"/>
    <w:rsid w:val="000E0EC4"/>
    <w:rsid w:val="000E2556"/>
    <w:rsid w:val="000E7978"/>
    <w:rsid w:val="000F0779"/>
    <w:rsid w:val="000F3539"/>
    <w:rsid w:val="000F47EB"/>
    <w:rsid w:val="000F5BA5"/>
    <w:rsid w:val="000F5E88"/>
    <w:rsid w:val="0011235F"/>
    <w:rsid w:val="00114E9E"/>
    <w:rsid w:val="00120A87"/>
    <w:rsid w:val="00121AF2"/>
    <w:rsid w:val="00121D6C"/>
    <w:rsid w:val="00124F68"/>
    <w:rsid w:val="00125D2D"/>
    <w:rsid w:val="001274C6"/>
    <w:rsid w:val="0013224D"/>
    <w:rsid w:val="00136377"/>
    <w:rsid w:val="00141F78"/>
    <w:rsid w:val="00154ACF"/>
    <w:rsid w:val="00160477"/>
    <w:rsid w:val="00175CAA"/>
    <w:rsid w:val="00176456"/>
    <w:rsid w:val="00180B88"/>
    <w:rsid w:val="00183DF5"/>
    <w:rsid w:val="0019088A"/>
    <w:rsid w:val="001940E4"/>
    <w:rsid w:val="001A305F"/>
    <w:rsid w:val="001A677E"/>
    <w:rsid w:val="001B0CDE"/>
    <w:rsid w:val="001B12D5"/>
    <w:rsid w:val="001C6CA6"/>
    <w:rsid w:val="001C7A2E"/>
    <w:rsid w:val="001D44CF"/>
    <w:rsid w:val="001D6A32"/>
    <w:rsid w:val="001E1269"/>
    <w:rsid w:val="001E6BD0"/>
    <w:rsid w:val="0020491B"/>
    <w:rsid w:val="00207772"/>
    <w:rsid w:val="00213ADB"/>
    <w:rsid w:val="00216792"/>
    <w:rsid w:val="00220811"/>
    <w:rsid w:val="002320F9"/>
    <w:rsid w:val="00242B54"/>
    <w:rsid w:val="0024477B"/>
    <w:rsid w:val="00250A9D"/>
    <w:rsid w:val="00252355"/>
    <w:rsid w:val="00253773"/>
    <w:rsid w:val="00266AF7"/>
    <w:rsid w:val="00266CBD"/>
    <w:rsid w:val="0027688B"/>
    <w:rsid w:val="00287F2F"/>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D1BFE"/>
    <w:rsid w:val="003E005D"/>
    <w:rsid w:val="003E020D"/>
    <w:rsid w:val="003E1FF5"/>
    <w:rsid w:val="003E5932"/>
    <w:rsid w:val="003F5F28"/>
    <w:rsid w:val="00401637"/>
    <w:rsid w:val="00415D0F"/>
    <w:rsid w:val="0042104B"/>
    <w:rsid w:val="00421D03"/>
    <w:rsid w:val="0042335F"/>
    <w:rsid w:val="00427172"/>
    <w:rsid w:val="00427243"/>
    <w:rsid w:val="004355E1"/>
    <w:rsid w:val="00440667"/>
    <w:rsid w:val="0044123A"/>
    <w:rsid w:val="00443826"/>
    <w:rsid w:val="0046092E"/>
    <w:rsid w:val="00461D97"/>
    <w:rsid w:val="00462076"/>
    <w:rsid w:val="00472B60"/>
    <w:rsid w:val="00473D80"/>
    <w:rsid w:val="00476591"/>
    <w:rsid w:val="0048220B"/>
    <w:rsid w:val="004845FB"/>
    <w:rsid w:val="00487192"/>
    <w:rsid w:val="00492171"/>
    <w:rsid w:val="00494E3F"/>
    <w:rsid w:val="004B1AEF"/>
    <w:rsid w:val="004B76D1"/>
    <w:rsid w:val="004C407A"/>
    <w:rsid w:val="004D0773"/>
    <w:rsid w:val="004D3B23"/>
    <w:rsid w:val="004D634A"/>
    <w:rsid w:val="004E2F3C"/>
    <w:rsid w:val="004E693A"/>
    <w:rsid w:val="004F263C"/>
    <w:rsid w:val="004F5B3B"/>
    <w:rsid w:val="004F63BC"/>
    <w:rsid w:val="00502551"/>
    <w:rsid w:val="00502A1B"/>
    <w:rsid w:val="00504D0F"/>
    <w:rsid w:val="005103F0"/>
    <w:rsid w:val="00522900"/>
    <w:rsid w:val="005267F3"/>
    <w:rsid w:val="00526B81"/>
    <w:rsid w:val="005311C6"/>
    <w:rsid w:val="0053729E"/>
    <w:rsid w:val="00545170"/>
    <w:rsid w:val="0054695B"/>
    <w:rsid w:val="00546A94"/>
    <w:rsid w:val="00547FCC"/>
    <w:rsid w:val="00555271"/>
    <w:rsid w:val="00562004"/>
    <w:rsid w:val="005645D1"/>
    <w:rsid w:val="00564783"/>
    <w:rsid w:val="005774A9"/>
    <w:rsid w:val="00580355"/>
    <w:rsid w:val="00593A00"/>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9C7"/>
    <w:rsid w:val="0064047D"/>
    <w:rsid w:val="00644227"/>
    <w:rsid w:val="00653ECA"/>
    <w:rsid w:val="00656C3D"/>
    <w:rsid w:val="00660F49"/>
    <w:rsid w:val="00665A87"/>
    <w:rsid w:val="0067086D"/>
    <w:rsid w:val="006720F5"/>
    <w:rsid w:val="0067628D"/>
    <w:rsid w:val="006811B5"/>
    <w:rsid w:val="0069602E"/>
    <w:rsid w:val="006967E7"/>
    <w:rsid w:val="006A3C4C"/>
    <w:rsid w:val="006A69CE"/>
    <w:rsid w:val="006B3150"/>
    <w:rsid w:val="006B68E2"/>
    <w:rsid w:val="006C659B"/>
    <w:rsid w:val="006D6C5F"/>
    <w:rsid w:val="006E135E"/>
    <w:rsid w:val="006E7790"/>
    <w:rsid w:val="006F663E"/>
    <w:rsid w:val="00701E0A"/>
    <w:rsid w:val="00706133"/>
    <w:rsid w:val="007068BE"/>
    <w:rsid w:val="00710FE9"/>
    <w:rsid w:val="00713782"/>
    <w:rsid w:val="00713964"/>
    <w:rsid w:val="007154FF"/>
    <w:rsid w:val="007200BF"/>
    <w:rsid w:val="007211FE"/>
    <w:rsid w:val="00721CD8"/>
    <w:rsid w:val="00727CC2"/>
    <w:rsid w:val="00733D4C"/>
    <w:rsid w:val="00733E87"/>
    <w:rsid w:val="007343EE"/>
    <w:rsid w:val="00741680"/>
    <w:rsid w:val="00741867"/>
    <w:rsid w:val="0074190C"/>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B5C0A"/>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6225D"/>
    <w:rsid w:val="0087337F"/>
    <w:rsid w:val="00876399"/>
    <w:rsid w:val="00881946"/>
    <w:rsid w:val="008925B3"/>
    <w:rsid w:val="0089705C"/>
    <w:rsid w:val="008A286A"/>
    <w:rsid w:val="008A2F87"/>
    <w:rsid w:val="008A43BB"/>
    <w:rsid w:val="008A4808"/>
    <w:rsid w:val="008A523F"/>
    <w:rsid w:val="008A5CA9"/>
    <w:rsid w:val="008B04CD"/>
    <w:rsid w:val="008B4F8D"/>
    <w:rsid w:val="008C0B8D"/>
    <w:rsid w:val="008C18DB"/>
    <w:rsid w:val="008D549B"/>
    <w:rsid w:val="008D5B03"/>
    <w:rsid w:val="008D779B"/>
    <w:rsid w:val="008E33D9"/>
    <w:rsid w:val="008E683C"/>
    <w:rsid w:val="008E7AFA"/>
    <w:rsid w:val="008F2D00"/>
    <w:rsid w:val="00902CE9"/>
    <w:rsid w:val="00905DFA"/>
    <w:rsid w:val="00910475"/>
    <w:rsid w:val="0091184A"/>
    <w:rsid w:val="00920B83"/>
    <w:rsid w:val="00923999"/>
    <w:rsid w:val="009260C4"/>
    <w:rsid w:val="009262FD"/>
    <w:rsid w:val="00927370"/>
    <w:rsid w:val="009344AF"/>
    <w:rsid w:val="00940614"/>
    <w:rsid w:val="009468A6"/>
    <w:rsid w:val="00946C25"/>
    <w:rsid w:val="00955DC4"/>
    <w:rsid w:val="009570F3"/>
    <w:rsid w:val="00966FCB"/>
    <w:rsid w:val="00973828"/>
    <w:rsid w:val="009813DE"/>
    <w:rsid w:val="00986576"/>
    <w:rsid w:val="009967AC"/>
    <w:rsid w:val="009A1D83"/>
    <w:rsid w:val="009A430F"/>
    <w:rsid w:val="009B2C0C"/>
    <w:rsid w:val="009B3822"/>
    <w:rsid w:val="009B73C7"/>
    <w:rsid w:val="009B7628"/>
    <w:rsid w:val="009C2471"/>
    <w:rsid w:val="009C577D"/>
    <w:rsid w:val="009D0BF4"/>
    <w:rsid w:val="009D21B6"/>
    <w:rsid w:val="009D42CF"/>
    <w:rsid w:val="009D53B6"/>
    <w:rsid w:val="009E3956"/>
    <w:rsid w:val="009F1440"/>
    <w:rsid w:val="009F15DD"/>
    <w:rsid w:val="009F73C4"/>
    <w:rsid w:val="00A02E03"/>
    <w:rsid w:val="00A04901"/>
    <w:rsid w:val="00A11E24"/>
    <w:rsid w:val="00A17468"/>
    <w:rsid w:val="00A1797B"/>
    <w:rsid w:val="00A241CD"/>
    <w:rsid w:val="00A326E7"/>
    <w:rsid w:val="00A35223"/>
    <w:rsid w:val="00A51BCD"/>
    <w:rsid w:val="00A548F6"/>
    <w:rsid w:val="00A5599E"/>
    <w:rsid w:val="00A604E3"/>
    <w:rsid w:val="00A74027"/>
    <w:rsid w:val="00A7449D"/>
    <w:rsid w:val="00A857E4"/>
    <w:rsid w:val="00A90457"/>
    <w:rsid w:val="00A90EBA"/>
    <w:rsid w:val="00A929E1"/>
    <w:rsid w:val="00A943EA"/>
    <w:rsid w:val="00A947BF"/>
    <w:rsid w:val="00AA76AC"/>
    <w:rsid w:val="00AB3A1A"/>
    <w:rsid w:val="00AB421A"/>
    <w:rsid w:val="00AB4C80"/>
    <w:rsid w:val="00AB5E26"/>
    <w:rsid w:val="00AD0FA4"/>
    <w:rsid w:val="00AD7C05"/>
    <w:rsid w:val="00AE0214"/>
    <w:rsid w:val="00AE674E"/>
    <w:rsid w:val="00B308CD"/>
    <w:rsid w:val="00B31F35"/>
    <w:rsid w:val="00B409DB"/>
    <w:rsid w:val="00B46806"/>
    <w:rsid w:val="00B46DAB"/>
    <w:rsid w:val="00B47C00"/>
    <w:rsid w:val="00B76C8D"/>
    <w:rsid w:val="00B82099"/>
    <w:rsid w:val="00B84A7D"/>
    <w:rsid w:val="00B8767D"/>
    <w:rsid w:val="00B92BF3"/>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E7A75"/>
    <w:rsid w:val="00BF07D0"/>
    <w:rsid w:val="00BF7098"/>
    <w:rsid w:val="00BF7E1D"/>
    <w:rsid w:val="00C03E97"/>
    <w:rsid w:val="00C05B25"/>
    <w:rsid w:val="00C05DB0"/>
    <w:rsid w:val="00C064D1"/>
    <w:rsid w:val="00C11028"/>
    <w:rsid w:val="00C11E9C"/>
    <w:rsid w:val="00C13707"/>
    <w:rsid w:val="00C14706"/>
    <w:rsid w:val="00C16CBF"/>
    <w:rsid w:val="00C241CA"/>
    <w:rsid w:val="00C34EE9"/>
    <w:rsid w:val="00C3535F"/>
    <w:rsid w:val="00C43A9F"/>
    <w:rsid w:val="00C474AA"/>
    <w:rsid w:val="00C71FFB"/>
    <w:rsid w:val="00C74869"/>
    <w:rsid w:val="00C77C9A"/>
    <w:rsid w:val="00C81111"/>
    <w:rsid w:val="00C834BA"/>
    <w:rsid w:val="00C83B8A"/>
    <w:rsid w:val="00C867AB"/>
    <w:rsid w:val="00C908E8"/>
    <w:rsid w:val="00C95A68"/>
    <w:rsid w:val="00C96D10"/>
    <w:rsid w:val="00CA16C4"/>
    <w:rsid w:val="00CA4BF7"/>
    <w:rsid w:val="00CB20C4"/>
    <w:rsid w:val="00CB53D0"/>
    <w:rsid w:val="00CC12E3"/>
    <w:rsid w:val="00CC5A97"/>
    <w:rsid w:val="00CC68F7"/>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6F27"/>
    <w:rsid w:val="00D443D9"/>
    <w:rsid w:val="00D44493"/>
    <w:rsid w:val="00D52196"/>
    <w:rsid w:val="00D54311"/>
    <w:rsid w:val="00D6097D"/>
    <w:rsid w:val="00D623E3"/>
    <w:rsid w:val="00D96039"/>
    <w:rsid w:val="00DA1D67"/>
    <w:rsid w:val="00DA4102"/>
    <w:rsid w:val="00DA72E7"/>
    <w:rsid w:val="00DC09B2"/>
    <w:rsid w:val="00DC1738"/>
    <w:rsid w:val="00DC3D30"/>
    <w:rsid w:val="00DC40EE"/>
    <w:rsid w:val="00DC7259"/>
    <w:rsid w:val="00DD0F0F"/>
    <w:rsid w:val="00DD3FEF"/>
    <w:rsid w:val="00DD7A23"/>
    <w:rsid w:val="00DE31F6"/>
    <w:rsid w:val="00E02AC1"/>
    <w:rsid w:val="00E02C8D"/>
    <w:rsid w:val="00E02E59"/>
    <w:rsid w:val="00E05A67"/>
    <w:rsid w:val="00E11177"/>
    <w:rsid w:val="00E112F6"/>
    <w:rsid w:val="00E1208D"/>
    <w:rsid w:val="00E12994"/>
    <w:rsid w:val="00E147B7"/>
    <w:rsid w:val="00E14C5A"/>
    <w:rsid w:val="00E16F69"/>
    <w:rsid w:val="00E30AE5"/>
    <w:rsid w:val="00E37136"/>
    <w:rsid w:val="00E51FBA"/>
    <w:rsid w:val="00E57A88"/>
    <w:rsid w:val="00E60CD1"/>
    <w:rsid w:val="00E62C61"/>
    <w:rsid w:val="00E64848"/>
    <w:rsid w:val="00E66C13"/>
    <w:rsid w:val="00E708CD"/>
    <w:rsid w:val="00E7375E"/>
    <w:rsid w:val="00E7416F"/>
    <w:rsid w:val="00E7466B"/>
    <w:rsid w:val="00E96016"/>
    <w:rsid w:val="00EA73F0"/>
    <w:rsid w:val="00EC126D"/>
    <w:rsid w:val="00EC3612"/>
    <w:rsid w:val="00EC754C"/>
    <w:rsid w:val="00ED4702"/>
    <w:rsid w:val="00EE0820"/>
    <w:rsid w:val="00EE3F36"/>
    <w:rsid w:val="00EE4EE3"/>
    <w:rsid w:val="00EE503A"/>
    <w:rsid w:val="00EF003A"/>
    <w:rsid w:val="00EF0979"/>
    <w:rsid w:val="00EF0D80"/>
    <w:rsid w:val="00EF4302"/>
    <w:rsid w:val="00EF4C23"/>
    <w:rsid w:val="00F03108"/>
    <w:rsid w:val="00F04895"/>
    <w:rsid w:val="00F156C1"/>
    <w:rsid w:val="00F236C1"/>
    <w:rsid w:val="00F247F4"/>
    <w:rsid w:val="00F25D08"/>
    <w:rsid w:val="00F32881"/>
    <w:rsid w:val="00F33F9E"/>
    <w:rsid w:val="00F349BC"/>
    <w:rsid w:val="00F40DDA"/>
    <w:rsid w:val="00F50599"/>
    <w:rsid w:val="00F514B0"/>
    <w:rsid w:val="00F544B2"/>
    <w:rsid w:val="00F552AB"/>
    <w:rsid w:val="00F55625"/>
    <w:rsid w:val="00F5774F"/>
    <w:rsid w:val="00F604A6"/>
    <w:rsid w:val="00F7737E"/>
    <w:rsid w:val="00F85AF6"/>
    <w:rsid w:val="00F94D19"/>
    <w:rsid w:val="00FA0AFD"/>
    <w:rsid w:val="00FC2AEE"/>
    <w:rsid w:val="00FC7BBD"/>
    <w:rsid w:val="00FD2069"/>
    <w:rsid w:val="00FD4DA8"/>
    <w:rsid w:val="00FE53E9"/>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4FA-B304-4EAD-92EC-1ADDD19D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33</Pages>
  <Words>8940</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GTV</cp:lastModifiedBy>
  <cp:revision>14</cp:revision>
  <cp:lastPrinted>2021-10-06T05:52:00Z</cp:lastPrinted>
  <dcterms:created xsi:type="dcterms:W3CDTF">2021-03-17T06:22:00Z</dcterms:created>
  <dcterms:modified xsi:type="dcterms:W3CDTF">2021-10-07T00:43:00Z</dcterms:modified>
</cp:coreProperties>
</file>