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2" w:rsidRPr="006A7782" w:rsidRDefault="006A7782" w:rsidP="006A7782">
      <w:pPr>
        <w:spacing w:line="240" w:lineRule="auto"/>
        <w:ind w:firstLine="567"/>
        <w:jc w:val="center"/>
        <w:rPr>
          <w:rFonts w:ascii="Times New Roman" w:eastAsia="SimSun" w:hAnsi="Times New Roman"/>
          <w:sz w:val="20"/>
          <w:szCs w:val="28"/>
          <w:lang w:eastAsia="zh-CN"/>
        </w:rPr>
      </w:pPr>
      <w:r w:rsidRPr="006A7782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</w:t>
      </w:r>
      <w:r w:rsidRPr="006A778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D23073" wp14:editId="6B996445">
            <wp:extent cx="657225" cy="971550"/>
            <wp:effectExtent l="0" t="0" r="9525" b="0"/>
            <wp:docPr id="10" name="Рисунок 1" descr="Описание: 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2" w:rsidRPr="006A7782" w:rsidRDefault="006A7782" w:rsidP="006A7782">
      <w:pPr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7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КАЗЕННОЕ УЧРЕЖДЕНИЕ </w:t>
      </w:r>
    </w:p>
    <w:p w:rsidR="006A7782" w:rsidRPr="006A7782" w:rsidRDefault="006A7782" w:rsidP="006A7782">
      <w:pPr>
        <w:pBdr>
          <w:bottom w:val="single" w:sz="12" w:space="0" w:color="auto"/>
        </w:pBdr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78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A7782" w:rsidRPr="006A7782" w:rsidRDefault="006A7782" w:rsidP="006A7782">
      <w:pPr>
        <w:pBdr>
          <w:bottom w:val="single" w:sz="12" w:space="0" w:color="auto"/>
        </w:pBdr>
        <w:spacing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77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«БИЧУРСКИЙ РАЙОН» РЕСПУБЛИКИ БУРЯТИЯ</w:t>
      </w:r>
    </w:p>
    <w:p w:rsidR="006A7782" w:rsidRPr="006A7782" w:rsidRDefault="006A7782" w:rsidP="006A7782">
      <w:pPr>
        <w:spacing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A7782" w:rsidRPr="006A7782" w:rsidRDefault="006A7782" w:rsidP="006A7782">
      <w:pPr>
        <w:spacing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A77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6A7782" w:rsidRPr="006A7782" w:rsidRDefault="006A7782" w:rsidP="006A7782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6A7782" w:rsidRPr="006A7782" w:rsidRDefault="006A7782" w:rsidP="006A778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630</w:t>
      </w:r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7782" w:rsidRPr="006A7782" w:rsidRDefault="006A7782" w:rsidP="006A778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A77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Бичура</w:t>
      </w:r>
    </w:p>
    <w:p w:rsidR="006A7782" w:rsidRDefault="006A7782" w:rsidP="006A7782">
      <w:pPr>
        <w:pStyle w:val="ConsPlusTitle"/>
        <w:jc w:val="center"/>
        <w:outlineLvl w:val="0"/>
      </w:pPr>
    </w:p>
    <w:p w:rsidR="006A7782" w:rsidRDefault="006A7782" w:rsidP="006A7782">
      <w:pPr>
        <w:pStyle w:val="ConsPlusTitle"/>
        <w:ind w:firstLine="540"/>
        <w:jc w:val="both"/>
      </w:pPr>
    </w:p>
    <w:p w:rsidR="004A4291" w:rsidRDefault="006A7782" w:rsidP="006A77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61B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ОРГАНИЗАЦИИ ПРОВЕДЕНИЯ</w:t>
      </w:r>
      <w:r w:rsidR="00063737" w:rsidRPr="00E56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61B0">
        <w:rPr>
          <w:rFonts w:ascii="Times New Roman" w:hAnsi="Times New Roman" w:cs="Times New Roman"/>
          <w:b w:val="0"/>
          <w:sz w:val="28"/>
          <w:szCs w:val="28"/>
        </w:rPr>
        <w:t>МОНИТОРИНГА КАЧЕСТВА ФИНАНСОВОГО МЕНЕДЖМЕНТА,</w:t>
      </w:r>
      <w:r w:rsidR="00063737" w:rsidRPr="00E56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61B0">
        <w:rPr>
          <w:rFonts w:ascii="Times New Roman" w:hAnsi="Times New Roman" w:cs="Times New Roman"/>
          <w:b w:val="0"/>
          <w:sz w:val="28"/>
          <w:szCs w:val="28"/>
        </w:rPr>
        <w:t>ОСУЩЕСТВЛЯЕМОГО ГЛАВНЫМИ РАСПОРЯДИТЕЛЯМИ СРЕДСТВ БЮДЖЕТА</w:t>
      </w:r>
      <w:r w:rsidR="004A4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9C3" w:rsidRPr="00E561B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A7782" w:rsidRPr="00E561B0" w:rsidRDefault="002569C3" w:rsidP="006A77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E561B0">
        <w:rPr>
          <w:rFonts w:ascii="Times New Roman" w:hAnsi="Times New Roman" w:cs="Times New Roman"/>
          <w:b w:val="0"/>
          <w:sz w:val="28"/>
          <w:szCs w:val="28"/>
        </w:rPr>
        <w:t xml:space="preserve"> «БИЧУРСКИЙ РАЙОН»</w:t>
      </w:r>
    </w:p>
    <w:p w:rsidR="006A7782" w:rsidRPr="00955C24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и эффективности использования средств бюджета </w:t>
      </w:r>
      <w:r w:rsidR="002569C3" w:rsidRPr="00937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569C3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569C3" w:rsidRPr="0093718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93718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  <w:hyperlink r:id="rId6" w:history="1">
        <w:r w:rsidRPr="00937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="000452B1" w:rsidRPr="00937186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долгом», </w:t>
      </w:r>
      <w:r w:rsidRPr="00937186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0452B1" w:rsidRPr="00937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52B1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0452B1" w:rsidRPr="00937186">
        <w:rPr>
          <w:rFonts w:ascii="Times New Roman" w:hAnsi="Times New Roman" w:cs="Times New Roman"/>
          <w:sz w:val="28"/>
          <w:szCs w:val="28"/>
        </w:rPr>
        <w:t xml:space="preserve"> район» ОТ 08 АВГУСТА  2014 ГОДА  № 38  </w:t>
      </w:r>
      <w:r w:rsidRPr="0093718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937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37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186">
        <w:rPr>
          <w:rFonts w:ascii="Times New Roman" w:hAnsi="Times New Roman" w:cs="Times New Roman"/>
          <w:sz w:val="28"/>
          <w:szCs w:val="28"/>
        </w:rPr>
        <w:t xml:space="preserve">об организации проведения мониторинга качества финансового менеджмента, осуществляемого главными распорядителями средств бюджета </w:t>
      </w:r>
      <w:r w:rsidR="0034723C" w:rsidRPr="00937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4723C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4723C" w:rsidRPr="0093718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93718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 (приложение).</w:t>
      </w:r>
    </w:p>
    <w:p w:rsidR="006A7782" w:rsidRPr="00937186" w:rsidRDefault="006A7782" w:rsidP="003472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34723C" w:rsidRPr="00937186">
        <w:rPr>
          <w:rFonts w:ascii="Times New Roman" w:hAnsi="Times New Roman" w:cs="Times New Roman"/>
          <w:sz w:val="28"/>
          <w:szCs w:val="28"/>
        </w:rPr>
        <w:t xml:space="preserve">е </w:t>
      </w:r>
      <w:r w:rsidR="00367C6C" w:rsidRPr="00937186">
        <w:rPr>
          <w:rFonts w:ascii="Times New Roman" w:hAnsi="Times New Roman" w:cs="Times New Roman"/>
          <w:sz w:val="28"/>
          <w:szCs w:val="28"/>
        </w:rPr>
        <w:t>Администрации</w:t>
      </w:r>
      <w:r w:rsidR="0034723C" w:rsidRPr="00937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4723C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4723C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86">
        <w:rPr>
          <w:rFonts w:ascii="Times New Roman" w:hAnsi="Times New Roman" w:cs="Times New Roman"/>
          <w:sz w:val="28"/>
          <w:szCs w:val="28"/>
        </w:rPr>
        <w:t xml:space="preserve"> от </w:t>
      </w:r>
      <w:r w:rsidR="0034723C" w:rsidRPr="00937186">
        <w:rPr>
          <w:rFonts w:ascii="Times New Roman" w:hAnsi="Times New Roman" w:cs="Times New Roman"/>
          <w:sz w:val="28"/>
          <w:szCs w:val="28"/>
        </w:rPr>
        <w:t>07</w:t>
      </w:r>
      <w:r w:rsidRPr="00937186">
        <w:rPr>
          <w:rFonts w:ascii="Times New Roman" w:hAnsi="Times New Roman" w:cs="Times New Roman"/>
          <w:sz w:val="28"/>
          <w:szCs w:val="28"/>
        </w:rPr>
        <w:t>.0</w:t>
      </w:r>
      <w:r w:rsidR="0034723C" w:rsidRPr="00937186">
        <w:rPr>
          <w:rFonts w:ascii="Times New Roman" w:hAnsi="Times New Roman" w:cs="Times New Roman"/>
          <w:sz w:val="28"/>
          <w:szCs w:val="28"/>
        </w:rPr>
        <w:t>9</w:t>
      </w:r>
      <w:r w:rsidRPr="00937186">
        <w:rPr>
          <w:rFonts w:ascii="Times New Roman" w:hAnsi="Times New Roman" w:cs="Times New Roman"/>
          <w:sz w:val="28"/>
          <w:szCs w:val="28"/>
        </w:rPr>
        <w:t>.201</w:t>
      </w:r>
      <w:r w:rsidR="0034723C" w:rsidRPr="00937186">
        <w:rPr>
          <w:rFonts w:ascii="Times New Roman" w:hAnsi="Times New Roman" w:cs="Times New Roman"/>
          <w:sz w:val="28"/>
          <w:szCs w:val="28"/>
        </w:rPr>
        <w:t>1</w:t>
      </w:r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3718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N </w:t>
        </w:r>
      </w:hyperlink>
      <w:r w:rsidR="0034723C" w:rsidRPr="00937186">
        <w:rPr>
          <w:rFonts w:ascii="Times New Roman" w:hAnsi="Times New Roman" w:cs="Times New Roman"/>
          <w:color w:val="000000" w:themeColor="text1"/>
          <w:sz w:val="28"/>
          <w:szCs w:val="28"/>
        </w:rPr>
        <w:t>592</w:t>
      </w:r>
      <w:r w:rsidRPr="00937186">
        <w:rPr>
          <w:rFonts w:ascii="Times New Roman" w:hAnsi="Times New Roman" w:cs="Times New Roman"/>
          <w:sz w:val="28"/>
          <w:szCs w:val="28"/>
        </w:rPr>
        <w:t xml:space="preserve"> "</w:t>
      </w:r>
      <w:r w:rsidR="0034723C" w:rsidRPr="00937186">
        <w:rPr>
          <w:rFonts w:ascii="Times New Roman" w:hAnsi="Times New Roman" w:cs="Times New Roman"/>
          <w:sz w:val="28"/>
          <w:szCs w:val="28"/>
        </w:rPr>
        <w:t xml:space="preserve"> О порядке осуществления мониторинга и оценки качества управления муниципальными финансами</w:t>
      </w:r>
      <w:r w:rsidRPr="00937186">
        <w:rPr>
          <w:rFonts w:ascii="Times New Roman" w:hAnsi="Times New Roman" w:cs="Times New Roman"/>
          <w:sz w:val="28"/>
          <w:szCs w:val="28"/>
        </w:rPr>
        <w:t>"</w:t>
      </w:r>
      <w:r w:rsidR="00EF323C" w:rsidRPr="00937186">
        <w:rPr>
          <w:rFonts w:ascii="Times New Roman" w:hAnsi="Times New Roman" w:cs="Times New Roman"/>
          <w:sz w:val="28"/>
          <w:szCs w:val="28"/>
        </w:rPr>
        <w:t>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3. </w:t>
      </w:r>
      <w:r w:rsidR="00EF323C" w:rsidRPr="00937186">
        <w:rPr>
          <w:rFonts w:ascii="Times New Roman" w:hAnsi="Times New Roman" w:cs="Times New Roman"/>
          <w:sz w:val="28"/>
          <w:szCs w:val="28"/>
        </w:rPr>
        <w:t>Муниципальному учреждению финансовое  управление Администрации МО «</w:t>
      </w:r>
      <w:proofErr w:type="spellStart"/>
      <w:r w:rsidR="00EF323C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F323C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86">
        <w:rPr>
          <w:rFonts w:ascii="Times New Roman" w:hAnsi="Times New Roman" w:cs="Times New Roman"/>
          <w:sz w:val="28"/>
          <w:szCs w:val="28"/>
        </w:rPr>
        <w:t>: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- довести настоящее постановление до сведения главных распорядителей средств бюджета </w:t>
      </w:r>
      <w:r w:rsidR="00EF323C" w:rsidRPr="009371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F323C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F323C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86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- обеспечить проведение мониторинга качества финансового менеджмента, осуществляемого главными распорядителями.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lastRenderedPageBreak/>
        <w:t>4. Главным распорядителям:</w:t>
      </w:r>
    </w:p>
    <w:p w:rsidR="00955C24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- обеспечить своевременное представление в </w:t>
      </w:r>
      <w:r w:rsidR="00D80436" w:rsidRPr="00937186">
        <w:rPr>
          <w:rFonts w:ascii="Times New Roman" w:hAnsi="Times New Roman" w:cs="Times New Roman"/>
          <w:sz w:val="28"/>
          <w:szCs w:val="28"/>
        </w:rPr>
        <w:t>муниципальное учреждение финансовое  управление Администрации МО «</w:t>
      </w:r>
      <w:proofErr w:type="spellStart"/>
      <w:r w:rsidR="00D80436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80436" w:rsidRPr="00937186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hyperlink w:anchor="P60" w:history="1">
        <w:r w:rsidRPr="009371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937186">
        <w:rPr>
          <w:rFonts w:ascii="Times New Roman" w:hAnsi="Times New Roman" w:cs="Times New Roman"/>
          <w:sz w:val="28"/>
          <w:szCs w:val="28"/>
        </w:rPr>
        <w:t xml:space="preserve"> Положения об организации проведения мониторинга качества финансового менеджмента, осуществляемого главными распорядителями средств бюджета </w:t>
      </w:r>
      <w:r w:rsidR="00D80436" w:rsidRPr="00937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0436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80436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86">
        <w:rPr>
          <w:rFonts w:ascii="Times New Roman" w:hAnsi="Times New Roman" w:cs="Times New Roman"/>
          <w:sz w:val="28"/>
          <w:szCs w:val="28"/>
        </w:rPr>
        <w:t>".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80436" w:rsidRPr="0093718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97AC1" w:rsidRPr="00937186">
        <w:rPr>
          <w:rFonts w:ascii="Times New Roman" w:hAnsi="Times New Roman" w:cs="Times New Roman"/>
          <w:sz w:val="28"/>
          <w:szCs w:val="28"/>
        </w:rPr>
        <w:t>муниципального учреждения финансовое  управление Администрации МО «</w:t>
      </w:r>
      <w:proofErr w:type="spellStart"/>
      <w:r w:rsidR="00297AC1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97AC1" w:rsidRPr="00937186">
        <w:rPr>
          <w:rFonts w:ascii="Times New Roman" w:hAnsi="Times New Roman" w:cs="Times New Roman"/>
          <w:sz w:val="28"/>
          <w:szCs w:val="28"/>
        </w:rPr>
        <w:t xml:space="preserve"> район» Варфоломееву Л.И.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AC1" w:rsidRPr="00937186" w:rsidRDefault="00297AC1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AC1" w:rsidRPr="00937186" w:rsidRDefault="00297AC1" w:rsidP="000637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Глава</w:t>
      </w:r>
    </w:p>
    <w:p w:rsidR="00063737" w:rsidRPr="00955C24" w:rsidRDefault="00297AC1" w:rsidP="000637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МО</w:t>
      </w:r>
      <w:r w:rsidR="00063737"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Pr="009371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063737"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Pr="00937186">
        <w:rPr>
          <w:rFonts w:ascii="Times New Roman" w:hAnsi="Times New Roman" w:cs="Times New Roman"/>
          <w:sz w:val="28"/>
          <w:szCs w:val="28"/>
        </w:rPr>
        <w:t xml:space="preserve">район»      </w:t>
      </w:r>
      <w:r w:rsidR="00063737" w:rsidRPr="00937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37" w:rsidRPr="00937186">
        <w:rPr>
          <w:rFonts w:ascii="Times New Roman" w:hAnsi="Times New Roman" w:cs="Times New Roman"/>
          <w:sz w:val="28"/>
          <w:szCs w:val="28"/>
        </w:rPr>
        <w:t>В.В.Смолин</w:t>
      </w:r>
      <w:proofErr w:type="spellEnd"/>
    </w:p>
    <w:p w:rsidR="00297AC1" w:rsidRPr="00955C24" w:rsidRDefault="00297AC1" w:rsidP="000637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A7782" w:rsidRDefault="006A7782" w:rsidP="006A7782">
      <w:pPr>
        <w:pStyle w:val="ConsPlusNormal"/>
        <w:jc w:val="both"/>
      </w:pPr>
    </w:p>
    <w:p w:rsidR="006A7782" w:rsidRDefault="006A7782" w:rsidP="006A7782">
      <w:pPr>
        <w:pStyle w:val="ConsPlusNormal"/>
        <w:jc w:val="both"/>
      </w:pPr>
    </w:p>
    <w:p w:rsidR="006A7782" w:rsidRDefault="006A7782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037D9" w:rsidRDefault="006037D9" w:rsidP="006A7782">
      <w:pPr>
        <w:pStyle w:val="ConsPlusNormal"/>
        <w:jc w:val="both"/>
      </w:pPr>
    </w:p>
    <w:p w:rsidR="006A7782" w:rsidRPr="00937186" w:rsidRDefault="006A7782" w:rsidP="006A77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7782" w:rsidRPr="00937186" w:rsidRDefault="003C33FE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 xml:space="preserve">МКУ </w:t>
      </w:r>
      <w:r w:rsidR="006A7782" w:rsidRPr="00937186">
        <w:rPr>
          <w:rFonts w:ascii="Times New Roman" w:hAnsi="Times New Roman" w:cs="Times New Roman"/>
          <w:sz w:val="24"/>
          <w:szCs w:val="24"/>
        </w:rPr>
        <w:t>Администраци</w:t>
      </w:r>
      <w:r w:rsidRPr="00937186">
        <w:rPr>
          <w:rFonts w:ascii="Times New Roman" w:hAnsi="Times New Roman" w:cs="Times New Roman"/>
          <w:sz w:val="24"/>
          <w:szCs w:val="24"/>
        </w:rPr>
        <w:t>я МО «</w:t>
      </w:r>
      <w:proofErr w:type="spellStart"/>
      <w:r w:rsidRPr="0093718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93718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 xml:space="preserve">от </w:t>
      </w:r>
      <w:r w:rsidR="003C33FE" w:rsidRPr="00937186">
        <w:rPr>
          <w:rFonts w:ascii="Times New Roman" w:hAnsi="Times New Roman" w:cs="Times New Roman"/>
          <w:sz w:val="24"/>
          <w:szCs w:val="24"/>
        </w:rPr>
        <w:t>2</w:t>
      </w:r>
      <w:r w:rsidRPr="00937186">
        <w:rPr>
          <w:rFonts w:ascii="Times New Roman" w:hAnsi="Times New Roman" w:cs="Times New Roman"/>
          <w:sz w:val="24"/>
          <w:szCs w:val="24"/>
        </w:rPr>
        <w:t>8.12.201</w:t>
      </w:r>
      <w:r w:rsidR="003C33FE" w:rsidRPr="00937186">
        <w:rPr>
          <w:rFonts w:ascii="Times New Roman" w:hAnsi="Times New Roman" w:cs="Times New Roman"/>
          <w:sz w:val="24"/>
          <w:szCs w:val="24"/>
        </w:rPr>
        <w:t>9</w:t>
      </w:r>
      <w:r w:rsidRPr="00937186">
        <w:rPr>
          <w:rFonts w:ascii="Times New Roman" w:hAnsi="Times New Roman" w:cs="Times New Roman"/>
          <w:sz w:val="24"/>
          <w:szCs w:val="24"/>
        </w:rPr>
        <w:t xml:space="preserve"> N </w:t>
      </w:r>
      <w:r w:rsidR="003C33FE" w:rsidRPr="00937186">
        <w:rPr>
          <w:rFonts w:ascii="Times New Roman" w:hAnsi="Times New Roman" w:cs="Times New Roman"/>
          <w:sz w:val="24"/>
          <w:szCs w:val="24"/>
        </w:rPr>
        <w:t>630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937186">
        <w:rPr>
          <w:rFonts w:ascii="Times New Roman" w:hAnsi="Times New Roman" w:cs="Times New Roman"/>
          <w:sz w:val="28"/>
          <w:szCs w:val="28"/>
        </w:rPr>
        <w:t>ПОЛОЖЕНИЕ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ОБ ОРГАНИЗАЦИИ ПРОВЕДЕНИЯ МОНИТОРИНГА КАЧЕСТВА ФИНАНСОВОГО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МЕНЕДЖМЕНТА, ОСУЩЕСТВЛЯЕМОГО ГЛАВНЫМИ РАСПОРЯДИТЕЛЯМИ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C33FE" w:rsidRPr="0093718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3C33FE" w:rsidRPr="00937186">
        <w:rPr>
          <w:rFonts w:ascii="Times New Roman" w:hAnsi="Times New Roman" w:cs="Times New Roman"/>
          <w:b w:val="0"/>
          <w:sz w:val="28"/>
          <w:szCs w:val="28"/>
        </w:rPr>
        <w:t>Бичурский</w:t>
      </w:r>
      <w:proofErr w:type="spellEnd"/>
      <w:r w:rsidR="003C33FE" w:rsidRPr="0093718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механизм проведения </w:t>
      </w:r>
      <w:r w:rsidR="00353FD7" w:rsidRPr="00937186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3C33FE" w:rsidRPr="00937186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353FD7" w:rsidRPr="00937186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353FD7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53FD7" w:rsidRPr="00937186">
        <w:rPr>
          <w:rFonts w:ascii="Times New Roman" w:hAnsi="Times New Roman" w:cs="Times New Roman"/>
          <w:sz w:val="28"/>
          <w:szCs w:val="28"/>
        </w:rPr>
        <w:t xml:space="preserve"> район» (далее по тексту</w:t>
      </w:r>
      <w:r w:rsidR="00B36C3F"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="00353FD7" w:rsidRPr="00937186">
        <w:rPr>
          <w:rFonts w:ascii="Times New Roman" w:hAnsi="Times New Roman" w:cs="Times New Roman"/>
          <w:sz w:val="28"/>
          <w:szCs w:val="28"/>
        </w:rPr>
        <w:t>- Финансовое управление)</w:t>
      </w:r>
      <w:r w:rsidR="003C33FE"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Pr="00937186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</w:t>
      </w:r>
      <w:r w:rsidR="00353FD7" w:rsidRPr="009371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53FD7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53FD7" w:rsidRPr="0093718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7186">
        <w:rPr>
          <w:rFonts w:ascii="Times New Roman" w:hAnsi="Times New Roman" w:cs="Times New Roman"/>
          <w:sz w:val="28"/>
          <w:szCs w:val="28"/>
        </w:rPr>
        <w:t xml:space="preserve">(далее - бюджет </w:t>
      </w:r>
      <w:r w:rsidR="00F10B2F" w:rsidRPr="009371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10B2F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10B2F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86">
        <w:rPr>
          <w:rFonts w:ascii="Times New Roman" w:hAnsi="Times New Roman" w:cs="Times New Roman"/>
          <w:sz w:val="28"/>
          <w:szCs w:val="28"/>
        </w:rPr>
        <w:t>).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мониторингом качества финансового менеджмента, осуществляемого главными распорядителями средств бюджета </w:t>
      </w:r>
      <w:r w:rsidR="00F10B2F" w:rsidRPr="009371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10B2F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10B2F" w:rsidRPr="0093718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7186">
        <w:rPr>
          <w:rFonts w:ascii="Times New Roman" w:hAnsi="Times New Roman" w:cs="Times New Roman"/>
          <w:sz w:val="28"/>
          <w:szCs w:val="28"/>
        </w:rPr>
        <w:t xml:space="preserve">(далее - мониторинг), понимается анализ и оценка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 </w:t>
      </w:r>
      <w:r w:rsidR="00F10B2F" w:rsidRPr="009371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10B2F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10B2F" w:rsidRPr="0093718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718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исполнение бюджета </w:t>
      </w:r>
      <w:r w:rsidR="00F10B2F" w:rsidRPr="009371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10B2F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10B2F" w:rsidRPr="00937186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937186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 xml:space="preserve">, отчетность и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 xml:space="preserve"> исполнением бюджета).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3. Мониторинг проводится по итогам отчетного года на основании бюджетной отчетности, данных и материалов, представленных главными распорядителями средств</w:t>
      </w:r>
      <w:r w:rsidR="009B1D2E" w:rsidRPr="00937186"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 w:rsidR="009B1D2E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B1D2E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 w:rsidR="009B1D2E"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="00295A41" w:rsidRPr="009371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5A41"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Pr="00937186">
        <w:rPr>
          <w:rFonts w:ascii="Times New Roman" w:hAnsi="Times New Roman" w:cs="Times New Roman"/>
          <w:sz w:val="28"/>
          <w:szCs w:val="28"/>
        </w:rPr>
        <w:t>а также общедоступных (опубликованных или размещенных на официальных сайтах) данных и материалов.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37186">
        <w:rPr>
          <w:rFonts w:ascii="Times New Roman" w:hAnsi="Times New Roman" w:cs="Times New Roman"/>
          <w:sz w:val="28"/>
          <w:szCs w:val="28"/>
        </w:rPr>
        <w:t xml:space="preserve">4. Мониторинг проводится ежегодно в срок до </w:t>
      </w:r>
      <w:r w:rsidR="00295A41" w:rsidRPr="00937186">
        <w:rPr>
          <w:rFonts w:ascii="Times New Roman" w:hAnsi="Times New Roman" w:cs="Times New Roman"/>
          <w:sz w:val="28"/>
          <w:szCs w:val="28"/>
        </w:rPr>
        <w:t>01</w:t>
      </w:r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="00295A41" w:rsidRPr="00937186">
        <w:rPr>
          <w:rFonts w:ascii="Times New Roman" w:hAnsi="Times New Roman" w:cs="Times New Roman"/>
          <w:sz w:val="28"/>
          <w:szCs w:val="28"/>
        </w:rPr>
        <w:t>марта</w:t>
      </w:r>
      <w:r w:rsidRPr="00937186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>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5. Процедура проведения мониторинга включает в себя: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а) расчет значений показателей качества финансового менеджмента в разрезе главных распорядителей согласно приложению к настоящему Положению;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б) определение оценки качества финансового менеджмента по каждому </w:t>
      </w:r>
      <w:r w:rsidRPr="00937186">
        <w:rPr>
          <w:rFonts w:ascii="Times New Roman" w:hAnsi="Times New Roman" w:cs="Times New Roman"/>
          <w:sz w:val="28"/>
          <w:szCs w:val="28"/>
        </w:rPr>
        <w:lastRenderedPageBreak/>
        <w:t>показателю в разрезе главных распорядителей;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в) определение итоговой оценки качества финансового менеджмента в разрезе главных распорядителей;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г) расчет среднего уровня качества финансового менеджмента главных распорядителей;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д) сравнение достигнутого уровня качества финансового менеджмента каждого главного распорядителя и среднего уровня качества финансового менеджмента главных распорядителей с максимально возможным уровнем;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е) формирование годового рейтинга главных распорядителей по уровню итоговой оценки качества финансового менеджмента.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II. Организация проведения мониторинга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937186">
        <w:rPr>
          <w:rFonts w:ascii="Times New Roman" w:hAnsi="Times New Roman" w:cs="Times New Roman"/>
          <w:sz w:val="28"/>
          <w:szCs w:val="28"/>
        </w:rPr>
        <w:t xml:space="preserve">6. Главные распорядители, осуществляющие в отношении муниципальных бюджетных (автономных) учреждений полномочия и функции учредителей, в срок до </w:t>
      </w:r>
      <w:r w:rsidR="00295A41" w:rsidRPr="00937186">
        <w:rPr>
          <w:rFonts w:ascii="Times New Roman" w:hAnsi="Times New Roman" w:cs="Times New Roman"/>
          <w:sz w:val="28"/>
          <w:szCs w:val="28"/>
        </w:rPr>
        <w:t>01</w:t>
      </w:r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="00295A41" w:rsidRPr="00937186">
        <w:rPr>
          <w:rFonts w:ascii="Times New Roman" w:hAnsi="Times New Roman" w:cs="Times New Roman"/>
          <w:sz w:val="28"/>
          <w:szCs w:val="28"/>
        </w:rPr>
        <w:t>марта</w:t>
      </w:r>
      <w:r w:rsidRPr="00937186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041913" w:rsidRPr="0093718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937186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следующие документы: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- правовой акт, утверждающий порядок составления, утверждения и ведения бюджетных смет подведомственных получателей бюджетных средств, являющихся казенными учреждениями;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- правовой акт, утверждающий порядок составления и утверждения плана финансово-хозяйственной деятельности муниципальных учреждений, подведомственных главному распорядителю бюджетных средств.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7. </w:t>
      </w:r>
      <w:r w:rsidR="00041913" w:rsidRPr="0093718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937186">
        <w:rPr>
          <w:rFonts w:ascii="Times New Roman" w:hAnsi="Times New Roman" w:cs="Times New Roman"/>
          <w:sz w:val="28"/>
          <w:szCs w:val="28"/>
        </w:rPr>
        <w:t>после получения данных, указанных в пункте 6 настоящего Положения, осуществляет расчет показателей мониторинга качества финансового менеджмента, согласно приложению к настоящему Положению.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8. На основании данных расчета показателей качества финансового менеджмента Комитетом по финансам устанавливается итоговая оценка качества финансового менеджмента по каждому главному распорядителю, рассчитываемая по формуле: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41ECE2BC" wp14:editId="37C32CF3">
            <wp:extent cx="1661795" cy="278765"/>
            <wp:effectExtent l="0" t="0" r="0" b="6985"/>
            <wp:docPr id="9" name="Рисунок 9" descr="base_23907_5632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07_56322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E - итоговая оценка по главному распорядителю;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E(</w:t>
      </w:r>
      <w:proofErr w:type="spellStart"/>
      <w:r w:rsidRPr="00937186">
        <w:rPr>
          <w:rFonts w:ascii="Times New Roman" w:hAnsi="Times New Roman" w:cs="Times New Roman"/>
          <w:sz w:val="28"/>
          <w:szCs w:val="28"/>
        </w:rPr>
        <w:t>P</w:t>
      </w:r>
      <w:r w:rsidRPr="0093718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>) - оценка по i-</w:t>
      </w:r>
      <w:proofErr w:type="spellStart"/>
      <w:r w:rsidRPr="009371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показателю качества финансового менеджмента;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i - количество показателей.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lastRenderedPageBreak/>
        <w:t>В случае если для главного распорядителя показатель качества финансового менеджмента не рассчитывается, удельный вес указанного показателя качества финансового менеджмента пропорционально распределяется по остальным показателям оценки качества финансового менеджмента.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III. Методика определения рейтинговой оценки и среднего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уровня качества финансового менеджмента, осуществляемого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главными распорядителями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9. По результатам оценки качества финансового менеджмента формируется рейтинг главных распорядителей и определяется средний уровень качества финансового менеджмента.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10. Рейтинг главных распорядителей формируется методом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ранжирования оценки качества финансового менеджмента каждого главного распорядителя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>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11. Главному распорядителю, получившему наибольшую итоговую оценку качества финансового менеджмента за отчетный период, присваивается первая рейтинговая оценка (место в рейтинге). Главному распорядителю, получившему итоговую оценку качества финансового менеджмента, значение которой меньше, чем наибольшее значение, но большее, чем все остальные значения итоговых оценок, присваивается вторая рейтинговая оценка (место в рейтинге). Остальные рейтинговые оценки (места в рейтинге) присваиваются главным распорядителям аналогичным образом.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937186">
        <w:rPr>
          <w:rFonts w:ascii="Times New Roman" w:hAnsi="Times New Roman" w:cs="Times New Roman"/>
          <w:sz w:val="28"/>
          <w:szCs w:val="28"/>
        </w:rPr>
        <w:t>12. На основании полученных данных формируется рейтинг главных распорядителей по уровню итоговой оценки качества финансового менеджмента (таблица 1).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2D2" w:rsidRPr="00937186" w:rsidRDefault="003022D2" w:rsidP="006A778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Таблица 1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Рейтинг главных распорядителей по уровню итоговой оценки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701"/>
        <w:gridCol w:w="3231"/>
      </w:tblGrid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Рейтинговая оценка (R)</w:t>
            </w: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Итоговая оценка качества финансового менеджмента главного распорядите</w:t>
            </w:r>
            <w:r w:rsidRPr="00937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 (E), %</w:t>
            </w: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Отклонение итоговой оценки качества финансового менеджмента главного распорядителя от максимально возможного уровня качества </w:t>
            </w:r>
            <w:r w:rsidRPr="00937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финансового менеджмента главных распорядителей </w:t>
            </w:r>
            <w:r w:rsidRPr="00937186">
              <w:rPr>
                <w:rFonts w:ascii="Times New Roman" w:hAnsi="Times New Roman" w:cs="Times New Roman"/>
                <w:noProof/>
                <w:position w:val="-11"/>
                <w:sz w:val="28"/>
                <w:szCs w:val="28"/>
              </w:rPr>
              <w:drawing>
                <wp:inline distT="0" distB="0" distL="0" distR="0" wp14:anchorId="55A03A45" wp14:editId="7EE85AA7">
                  <wp:extent cx="412750" cy="278765"/>
                  <wp:effectExtent l="0" t="0" r="6350" b="0"/>
                  <wp:docPr id="8" name="Рисунок 8" descr="base_23907_5632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07_5632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82" w:rsidRPr="00937186" w:rsidTr="00B04EC9">
        <w:tc>
          <w:tcPr>
            <w:tcW w:w="56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98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782" w:rsidRPr="00937186" w:rsidTr="00B04EC9">
        <w:tc>
          <w:tcPr>
            <w:tcW w:w="2665" w:type="dxa"/>
            <w:gridSpan w:val="2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Средний уровень качества финансового менеджмента главных распорядителей (E), %</w:t>
            </w:r>
          </w:p>
        </w:tc>
        <w:tc>
          <w:tcPr>
            <w:tcW w:w="1474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13. Средний уровень качества финансового менеджмента, осуществляемого главными распорядителями, определяется по следующей формуле: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32EAC6F5" wp14:editId="73DF7C71">
            <wp:extent cx="936625" cy="513080"/>
            <wp:effectExtent l="0" t="0" r="0" b="1270"/>
            <wp:docPr id="7" name="Рисунок 7" descr="base_23907_5632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07_56322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где: </w:t>
      </w:r>
      <w:r w:rsidRPr="00937186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5FB5FA47" wp14:editId="634F5FF7">
            <wp:extent cx="156210" cy="212090"/>
            <wp:effectExtent l="0" t="0" r="0" b="0"/>
            <wp:docPr id="6" name="Рисунок 6" descr="base_23907_5632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07_56322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186">
        <w:rPr>
          <w:rFonts w:ascii="Times New Roman" w:hAnsi="Times New Roman" w:cs="Times New Roman"/>
          <w:sz w:val="28"/>
          <w:szCs w:val="28"/>
        </w:rPr>
        <w:t xml:space="preserve"> - средний уровень качества финансового менеджмента главных распорядителей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186">
        <w:rPr>
          <w:rFonts w:ascii="Times New Roman" w:hAnsi="Times New Roman" w:cs="Times New Roman"/>
          <w:sz w:val="28"/>
          <w:szCs w:val="28"/>
        </w:rPr>
        <w:t>E</w:t>
      </w:r>
      <w:r w:rsidRPr="00937186">
        <w:rPr>
          <w:rFonts w:ascii="Times New Roman" w:hAnsi="Times New Roman" w:cs="Times New Roman"/>
          <w:sz w:val="28"/>
          <w:szCs w:val="28"/>
          <w:vertAlign w:val="subscript"/>
        </w:rPr>
        <w:t>z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- итоговая оценка качества финансового менеджмента по z-</w:t>
      </w:r>
      <w:proofErr w:type="spellStart"/>
      <w:r w:rsidRPr="0093718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z - счетчик главных распорядителей, z изменяется от 1 до n;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n - общее количество главных распорядителей.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14. Для характеристики качества финансового менеджмента каждого главного распорядителя, рассчитывается отклонение итоговой оценки качества от максимально возможного уровня качества финансового менеджмента по формуле: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 wp14:anchorId="77216F54" wp14:editId="58B8D93C">
            <wp:extent cx="1092835" cy="256540"/>
            <wp:effectExtent l="0" t="0" r="0" b="0"/>
            <wp:docPr id="5" name="Рисунок 5" descr="base_23907_5632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07_56322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где: </w:t>
      </w:r>
      <w:r w:rsidRPr="0093718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4672A60B" wp14:editId="3758C645">
            <wp:extent cx="267335" cy="178435"/>
            <wp:effectExtent l="0" t="0" r="0" b="0"/>
            <wp:docPr id="4" name="Рисунок 4" descr="base_23907_5632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07_56322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186">
        <w:rPr>
          <w:rFonts w:ascii="Times New Roman" w:hAnsi="Times New Roman" w:cs="Times New Roman"/>
          <w:sz w:val="28"/>
          <w:szCs w:val="28"/>
        </w:rPr>
        <w:t xml:space="preserve"> - отклонение итоговой оценки качества финансового менеджмента z-</w:t>
      </w:r>
      <w:proofErr w:type="spellStart"/>
      <w:r w:rsidRPr="009371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главного распорядителя от максимально возможного уровня качества финансового менеджмента главных распорядителей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186">
        <w:rPr>
          <w:rFonts w:ascii="Times New Roman" w:hAnsi="Times New Roman" w:cs="Times New Roman"/>
          <w:sz w:val="28"/>
          <w:szCs w:val="28"/>
        </w:rPr>
        <w:t>E</w:t>
      </w:r>
      <w:r w:rsidRPr="00937186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- максимально возможный уровень качества финансового менеджмента главных распорядителей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186">
        <w:rPr>
          <w:rFonts w:ascii="Times New Roman" w:hAnsi="Times New Roman" w:cs="Times New Roman"/>
          <w:sz w:val="28"/>
          <w:szCs w:val="28"/>
        </w:rPr>
        <w:t>E</w:t>
      </w:r>
      <w:r w:rsidRPr="00937186">
        <w:rPr>
          <w:rFonts w:ascii="Times New Roman" w:hAnsi="Times New Roman" w:cs="Times New Roman"/>
          <w:sz w:val="28"/>
          <w:szCs w:val="28"/>
          <w:vertAlign w:val="subscript"/>
        </w:rPr>
        <w:t>z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- итоговая оценка качества финансового менеджмента z-</w:t>
      </w:r>
      <w:proofErr w:type="spellStart"/>
      <w:r w:rsidRPr="009371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главного распорядителя, %.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15. Для определения общей характеристики качества финансового менеджмента главных распорядителей рассчитывается отклонение среднего уровня качества финансового менеджмента главных распорядителей от максимально возможного уровня качества по формуле: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3BB0979" wp14:editId="196760F1">
            <wp:extent cx="925830" cy="267335"/>
            <wp:effectExtent l="0" t="0" r="7620" b="0"/>
            <wp:docPr id="3" name="Рисунок 3" descr="base_23907_5632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07_56322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где: </w:t>
      </w:r>
      <w:r w:rsidRPr="0093718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 wp14:anchorId="2DFECC4D" wp14:editId="22F07C24">
            <wp:extent cx="156210" cy="178435"/>
            <wp:effectExtent l="0" t="0" r="0" b="0"/>
            <wp:docPr id="2" name="Рисунок 2" descr="base_23907_5632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07_56322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186">
        <w:rPr>
          <w:rFonts w:ascii="Times New Roman" w:hAnsi="Times New Roman" w:cs="Times New Roman"/>
          <w:sz w:val="28"/>
          <w:szCs w:val="28"/>
        </w:rPr>
        <w:t xml:space="preserve"> - отклонение среднего уровня качества финансового менеджмента главных распорядителей от максимально возможного уровня качества финансового менеджмента главных распорядителей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186">
        <w:rPr>
          <w:rFonts w:ascii="Times New Roman" w:hAnsi="Times New Roman" w:cs="Times New Roman"/>
          <w:sz w:val="28"/>
          <w:szCs w:val="28"/>
        </w:rPr>
        <w:t>E</w:t>
      </w:r>
      <w:r w:rsidRPr="00937186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937186">
        <w:rPr>
          <w:rFonts w:ascii="Times New Roman" w:hAnsi="Times New Roman" w:cs="Times New Roman"/>
          <w:sz w:val="28"/>
          <w:szCs w:val="28"/>
        </w:rPr>
        <w:t xml:space="preserve"> - максимально возможный уровень качества финансового менеджмента главных распорядителей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7ED74691" wp14:editId="23BB328C">
            <wp:extent cx="156210" cy="212090"/>
            <wp:effectExtent l="0" t="0" r="0" b="0"/>
            <wp:docPr id="1" name="Рисунок 1" descr="base_23907_5632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07_56322_3277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186">
        <w:rPr>
          <w:rFonts w:ascii="Times New Roman" w:hAnsi="Times New Roman" w:cs="Times New Roman"/>
          <w:sz w:val="28"/>
          <w:szCs w:val="28"/>
        </w:rPr>
        <w:t xml:space="preserve"> - средний уровень качества финансового менеджмента главных распорядителей, %.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Максимально возможный уровень качества финансового менеджмента главных распорядителей составляет 100%.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16. Характеристика качества финансового менеджмента главных распорядителей проводится в зависимости от значения 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>отклонения итоговой оценки качества финансового менеджмента главного распорядителя</w:t>
      </w:r>
      <w:proofErr w:type="gramEnd"/>
      <w:r w:rsidRPr="00937186">
        <w:rPr>
          <w:rFonts w:ascii="Times New Roman" w:hAnsi="Times New Roman" w:cs="Times New Roman"/>
          <w:sz w:val="28"/>
          <w:szCs w:val="28"/>
        </w:rPr>
        <w:t xml:space="preserve"> от максимально возможного уровня качества. Значения отклонений и характеристика качества финансового менеджмента приведены в таблице 2.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Таблица 2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Значения отклонений и характеристика качества финансового</w:t>
      </w: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менеджмента главных распорядителей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6A7782" w:rsidRPr="00937186" w:rsidTr="00B04EC9">
        <w:tc>
          <w:tcPr>
            <w:tcW w:w="1757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Значения отклонения, %</w:t>
            </w:r>
          </w:p>
        </w:tc>
        <w:tc>
          <w:tcPr>
            <w:tcW w:w="7313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Характеристика качества финансового менеджмента</w:t>
            </w:r>
          </w:p>
        </w:tc>
      </w:tr>
      <w:tr w:rsidR="006A7782" w:rsidRPr="00937186" w:rsidTr="00B04EC9">
        <w:tc>
          <w:tcPr>
            <w:tcW w:w="175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 до 10</w:t>
            </w:r>
          </w:p>
        </w:tc>
        <w:tc>
          <w:tcPr>
            <w:tcW w:w="7313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главного распорядителя незначительно отклоняется от максимально возможного уровня качества финансового менеджмента. Уровень качества финансового менеджмента главного распорядителя высокий.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Необходимо поддерживать достигнутый уровень качества финансового менеджмента</w:t>
            </w:r>
          </w:p>
        </w:tc>
      </w:tr>
      <w:tr w:rsidR="006A7782" w:rsidRPr="00937186" w:rsidTr="00B04EC9">
        <w:tc>
          <w:tcPr>
            <w:tcW w:w="175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От 10 до 30</w:t>
            </w:r>
          </w:p>
        </w:tc>
        <w:tc>
          <w:tcPr>
            <w:tcW w:w="7313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Существенные отклонения уровня качества финансового менеджмента главного распорядителя от максимально возможного уровня качества финансового менеджмента. Уровень качества финансового менеджмента главного распорядителя удовлетворительный.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Необходимо принять меры по устранению недостатков в организации финансового менеджмента, провести комплекс мероприятий, направленных на улучшение качества финансового менеджмента главного распорядителя</w:t>
            </w:r>
          </w:p>
        </w:tc>
      </w:tr>
      <w:tr w:rsidR="006A7782" w:rsidRPr="00937186" w:rsidTr="00B04EC9">
        <w:tc>
          <w:tcPr>
            <w:tcW w:w="1757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7313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Значительные отклонения уровня качества финансового менеджмента главного распорядителя от максимально возможного уровня качества финансового менеджмента. Уровень качества финансового менеджмента главного распорядителя низкий.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186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принять меры по устранению недостатков в организации финансового менеджмента. Провести комплекс мероприятий, направленных на улучшение качества финансового менеджмента главного распорядителя. Требуется усиление </w:t>
            </w:r>
            <w:proofErr w:type="gramStart"/>
            <w:r w:rsidRPr="009371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3718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подведомственных учреждений</w:t>
            </w:r>
          </w:p>
        </w:tc>
      </w:tr>
    </w:tbl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>IV. Результаты мониторинга качества финансового менеджмента</w:t>
      </w: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782" w:rsidRPr="00937186" w:rsidRDefault="006A7782" w:rsidP="006A7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17. На основании данных расчета показателей качества финансового менеджмента </w:t>
      </w:r>
      <w:r w:rsidR="009A4212" w:rsidRPr="0093718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937186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hyperlink w:anchor="P49" w:history="1">
        <w:r w:rsidRPr="0093718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37186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 отчет о результатах мониторинга, содержащий рейтинг главных распорядителей по уровню итоговой оценки качества финансового менеджмента, указанный в </w:t>
      </w:r>
      <w:hyperlink w:anchor="P80" w:history="1">
        <w:r w:rsidRPr="0093718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37186">
        <w:rPr>
          <w:rFonts w:ascii="Times New Roman" w:hAnsi="Times New Roman" w:cs="Times New Roman"/>
          <w:sz w:val="28"/>
          <w:szCs w:val="28"/>
        </w:rPr>
        <w:t xml:space="preserve"> настоящего Положения, и пояснительная записка.</w:t>
      </w:r>
    </w:p>
    <w:p w:rsidR="006A7782" w:rsidRPr="00937186" w:rsidRDefault="006A7782" w:rsidP="006A77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186">
        <w:rPr>
          <w:rFonts w:ascii="Times New Roman" w:hAnsi="Times New Roman" w:cs="Times New Roman"/>
          <w:sz w:val="28"/>
          <w:szCs w:val="28"/>
        </w:rPr>
        <w:t xml:space="preserve">18. Отчет о результатах мониторинга публикуется на официальном сайте органов местного самоуправления </w:t>
      </w:r>
      <w:r w:rsidR="009A4212" w:rsidRPr="0093718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A4212" w:rsidRPr="0093718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A4212" w:rsidRPr="009371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37186">
        <w:rPr>
          <w:rFonts w:ascii="Times New Roman" w:hAnsi="Times New Roman" w:cs="Times New Roman"/>
          <w:sz w:val="28"/>
          <w:szCs w:val="28"/>
        </w:rPr>
        <w:t xml:space="preserve"> в разделе "Финансы"</w:t>
      </w:r>
      <w:proofErr w:type="gramStart"/>
      <w:r w:rsidRPr="00937186">
        <w:rPr>
          <w:rFonts w:ascii="Times New Roman" w:hAnsi="Times New Roman" w:cs="Times New Roman"/>
          <w:sz w:val="28"/>
          <w:szCs w:val="28"/>
        </w:rPr>
        <w:t xml:space="preserve"> </w:t>
      </w:r>
      <w:r w:rsidR="006264B7" w:rsidRPr="00937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782" w:rsidRPr="00937186" w:rsidRDefault="006A7782" w:rsidP="006A7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782" w:rsidRPr="00937186" w:rsidRDefault="006A7782" w:rsidP="006A77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проведения мониторинга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качества финансового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менеджмента, осуществляемого</w:t>
      </w:r>
    </w:p>
    <w:p w:rsidR="006A7782" w:rsidRPr="00937186" w:rsidRDefault="006A7782" w:rsidP="006A77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главными распорядителями</w:t>
      </w:r>
    </w:p>
    <w:p w:rsidR="006264B7" w:rsidRPr="00937186" w:rsidRDefault="006A7782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</w:p>
    <w:p w:rsidR="006264B7" w:rsidRPr="00937186" w:rsidRDefault="006264B7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A7782" w:rsidRPr="00937186" w:rsidRDefault="006264B7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3718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93718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264B7" w:rsidRDefault="006264B7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3EE5" w:rsidRDefault="00AB3EE5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3EE5" w:rsidRDefault="00AB3EE5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3EE5" w:rsidRDefault="00AB3EE5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3EE5" w:rsidRDefault="00AB3EE5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3EE5" w:rsidRPr="00937186" w:rsidRDefault="00AB3EE5" w:rsidP="0062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7782" w:rsidRPr="00937186" w:rsidRDefault="006A7782" w:rsidP="006A7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186">
        <w:rPr>
          <w:rFonts w:ascii="Times New Roman" w:hAnsi="Times New Roman" w:cs="Times New Roman"/>
          <w:sz w:val="24"/>
          <w:szCs w:val="24"/>
        </w:rPr>
        <w:t>ПОКАЗАТЕЛИ МОНИТОРИНГА КАЧЕСТВА ФИНАНСОВОГО МЕНЕДЖМЕНТА,</w:t>
      </w:r>
      <w:r w:rsidR="006D53B9" w:rsidRPr="00937186">
        <w:rPr>
          <w:rFonts w:ascii="Times New Roman" w:hAnsi="Times New Roman" w:cs="Times New Roman"/>
          <w:sz w:val="24"/>
          <w:szCs w:val="24"/>
        </w:rPr>
        <w:t xml:space="preserve"> </w:t>
      </w:r>
      <w:r w:rsidRPr="00937186">
        <w:rPr>
          <w:rFonts w:ascii="Times New Roman" w:hAnsi="Times New Roman" w:cs="Times New Roman"/>
          <w:sz w:val="24"/>
          <w:szCs w:val="24"/>
        </w:rPr>
        <w:t>ОСУЩЕСТВЛЯЕМОГО ГЛАВНЫМИ РАСПОРЯДИТЕЛЯМИ СРЕДСТВ БЮДЖЕТА</w:t>
      </w:r>
    </w:p>
    <w:p w:rsidR="006A7782" w:rsidRPr="00937186" w:rsidRDefault="006D53B9" w:rsidP="006D53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86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«БИЧУРСКИЙ РАЙОН»</w:t>
      </w:r>
    </w:p>
    <w:p w:rsidR="006A7782" w:rsidRPr="00937186" w:rsidRDefault="006A7782" w:rsidP="006A7782">
      <w:pPr>
        <w:rPr>
          <w:rFonts w:ascii="Times New Roman" w:hAnsi="Times New Roman"/>
          <w:sz w:val="24"/>
          <w:szCs w:val="24"/>
        </w:rPr>
        <w:sectPr w:rsidR="006A7782" w:rsidRPr="00937186" w:rsidSect="007A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649"/>
        <w:gridCol w:w="1247"/>
        <w:gridCol w:w="2891"/>
        <w:gridCol w:w="2494"/>
      </w:tblGrid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  <w:proofErr w:type="gram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1. Отклонение от утвержденного плана формирования неналоговых доходов главных распорядителей (далее - ГРБС)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P = 100 x (1 -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), если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&lt;=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P = 100 x (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- 1), если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по неналоговым доходам ГРБС в отчетном финансовом году (за исключением сумм возврата дебиторской задолженности прошлых лет, прочих поступлений от денежных взысканий (штрафов) и иных сумм в возмещение ущерба);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утвержденные объемы неналоговых доходов, установленные для ГРБС в отчетном финансовом году (за исключением сумм возврата дебиторской задолженности прошлых лет, прочих поступлений от денежных взысканий (штрафов) и иных сумм в возмещение ущерба)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P &lt;= 15%;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15%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отклонение от утвержденного плана формирования неналоговых доходов главных распорядителей более чем на 15%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2.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P - объем просроченной дебиторской задолженности по расчетам с дебиторами по доходам по состоянию на 1 января года, следующего </w:t>
            </w:r>
            <w:proofErr w:type="gram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P = 0;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0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наличия просроченной дебиторской задолженности по расчетам с дебиторами по доходам на 1 января года, следующего </w:t>
            </w:r>
            <w:proofErr w:type="gram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отчетным. Отрицательные значения P не принимаются в расчет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Наличие/отсутствие у ГРБС и подведомственных ему учреждений просроченной кредиторской задолженности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P - объем просроченной кредиторской задолженности у ГРБС и подведомственных ему учреждений по состоянию на 1 января года, следующего за </w:t>
            </w:r>
            <w:proofErr w:type="gram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P = 0;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0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Показатель позволяет оценить способность ГРБС организовать деятельность подведомственных ему учреждений таким образом, чтобы не допускать возникновения просроченной кредиторской задолженности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4. Своевременность представления реестра расходных обязательств</w:t>
            </w:r>
          </w:p>
        </w:tc>
        <w:tc>
          <w:tcPr>
            <w:tcW w:w="4649" w:type="dxa"/>
          </w:tcPr>
          <w:p w:rsidR="006A7782" w:rsidRPr="00937186" w:rsidRDefault="006A7782" w:rsidP="00694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P - количество </w:t>
            </w:r>
            <w:proofErr w:type="gram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дней отклонения даты регистрации сопроводительного письма</w:t>
            </w:r>
            <w:proofErr w:type="gramEnd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от ГРБС, к которому приложен реестр расходных обязательств, от даты представления реестра расходных обязательств, установленной Порядком ведения реестра расходных обязательств </w:t>
            </w:r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P = 0;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0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Положительное значение показателя свидетельствует о несоблюдении сроков представления предварительного реестра расходных обязательств. Целевым ориентиром является значение показателя, равное нулю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5. Полнота общей информации о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обязательствах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= 100 x (1 - N</w:t>
            </w:r>
            <w:r w:rsidRPr="009371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/ N), где: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9371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расходных обязательств ГРБС, для которых не указано хотя бы одно из следующих полей: пункт/статья нормативно-правового акта, являющегося основанием для возникновения расходного обязательства, коды функциональной и экономической классификации расходов бюджета, по которым предусмотрены ассигнования на исполнение расходного обязательства;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N - общее количество расходных обязательств ГРБС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P / 100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характеризует,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полно ГРБС отражена информация о расходных обязательствах, подлежащих исполнению в очередном финансовом году и плановом периоде. Целевым ориентиром для ГРБС является значение показателя, равное 100%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Качество планирования расходов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P = 100 x (I</w:t>
            </w:r>
            <w:r w:rsidRPr="009371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/ I), где: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71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изменений бюджетной росписи за отчетный период, произведенных по инициативе ГРБС (за исключением изменений по решениям Совета депутатов</w:t>
            </w:r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распоряжениям Администрации </w:t>
            </w:r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694766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, уведомлениям от органов исполнительной власти Республики Бурятия;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I - общее количество уведомлений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P &lt; 10%;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0,5, если 10 &lt;= P &lt;= 20%,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20%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Большое количество изменений свидетельствует о низком качестве финансового планирования. Целевым ориентиром является значение показателя, равное нулю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7. Объем не исполненных на конец отчетного финансового года бюджетных ассигнований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P = 100 x (b - E) / b, где: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b - объем бюджетных ассигнований ГРБС в отчетном году согласно росписи расходов бюджета </w:t>
            </w:r>
            <w:r w:rsidR="00DE5509" w:rsidRPr="0093718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DE5509" w:rsidRPr="0093718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DE5509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внесенных в нее изменений, за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средств из вышестоящих бюджетов, средств резервных фондов Администрации </w:t>
            </w:r>
            <w:r w:rsidR="00DE5509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DE5509" w:rsidRPr="0093718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DE5509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, средств на обслуживание муниципального долга, а также средств экономии по торгам;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E - кассовое исполнение расходов ГРБС в отчетном финансовом году, за исключением средств из вышестоящих бюджетов, средств резервных фондов </w:t>
            </w:r>
            <w:r w:rsidR="006B61A9" w:rsidRPr="00937186">
              <w:rPr>
                <w:rFonts w:ascii="Times New Roman" w:hAnsi="Times New Roman" w:cs="Times New Roman"/>
                <w:sz w:val="24"/>
                <w:szCs w:val="24"/>
              </w:rPr>
              <w:t>Администрации  МО «</w:t>
            </w:r>
            <w:proofErr w:type="spellStart"/>
            <w:r w:rsidR="006B61A9" w:rsidRPr="00937186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="006B61A9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, средств на обслуживание муниципального долга, а также средств экономии по торгам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1 - P / 100, если P &lt;= 7%;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7%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позволяет оценить объем не исполненных на конец года бюджетных ассигнований. Целевым ориентиром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ГРБС является значение, равное 0%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Качество порядка составления, утверждения и ведения бюджетных смет казенных учреждений, планов финансово-хозяйственной деятельности бюджетных и автономных учреждений, подведомственных ГРБС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ГРБС, действовавшего в отчетном финансовом году и содержащего: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1) процедуры составления, ведения и утверждения бюджетных смет, применяемые как к центральному аппарату ГРБС, так и к подведомственным учреждениям;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3) порядок ведения бюджетных смет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правовой акт ГРБС полностью соответствует требованиям 1 - 3;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0,75, если правовой акт ГРБС полностью соответствует двум требованиям из требований 1 - 3;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правовой акт ГРБС отсутствует или полностью (частично) не соответствует двум и более требованиям из требований 1 - 3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получателей бюджетных средств в части исполнения расходов бюджета на обеспечение </w:t>
            </w:r>
            <w:proofErr w:type="gramStart"/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выполнения функций получателей средств бюджета</w:t>
            </w:r>
            <w:proofErr w:type="gramEnd"/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9. Доля отклоненных платежных поручений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P = 100 x N</w:t>
            </w:r>
            <w:r w:rsidRPr="009371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/ N, где: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718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отклоненных в отчетном периоде платежных поручений ГРБС;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- общее количество платежных поручений ГРБС в отчетном периоде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P &lt;= 5%;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0,5, если 5 &lt; P &lt;= 10%;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10%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отклоненных платежных поручений ГРБС свидетельствует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низком качестве подготовки указанных платежных поручений. Целевым ориентиром для ГРБС является значение показателя, равное 0%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Соблюдение сроков представления годовой бюджетной отчетности в соответствии с приказом Комитета по финансам</w:t>
            </w:r>
          </w:p>
        </w:tc>
        <w:tc>
          <w:tcPr>
            <w:tcW w:w="4649" w:type="dxa"/>
          </w:tcPr>
          <w:p w:rsidR="006A7782" w:rsidRPr="00937186" w:rsidRDefault="006A7782" w:rsidP="005E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P - соблюдение сроков представления годовой бюджетной отчетности ГРБС в </w:t>
            </w:r>
            <w:r w:rsidR="005E229E" w:rsidRPr="0093718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1, если отчетность представлена в установленные сроки;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отчетность представлена с нарушением установленных сроков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сроков при представлении в </w:t>
            </w:r>
            <w:r w:rsidR="005E229E" w:rsidRPr="0093718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</w:t>
            </w:r>
          </w:p>
        </w:tc>
      </w:tr>
      <w:tr w:rsidR="006A7782" w:rsidRPr="00937186" w:rsidTr="00B04EC9">
        <w:tc>
          <w:tcPr>
            <w:tcW w:w="232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11. Объем финансовых нарушений</w:t>
            </w:r>
          </w:p>
        </w:tc>
        <w:tc>
          <w:tcPr>
            <w:tcW w:w="4649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P = 100 x (V - N) / V, где: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N - объем выявленных нарушений;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V - объем проверенных средств</w:t>
            </w:r>
          </w:p>
        </w:tc>
        <w:tc>
          <w:tcPr>
            <w:tcW w:w="1247" w:type="dxa"/>
          </w:tcPr>
          <w:p w:rsidR="006A7782" w:rsidRPr="00937186" w:rsidRDefault="006A7782" w:rsidP="00B04E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1 - P / 100, если P &lt;= 1%;</w:t>
            </w:r>
          </w:p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E(P) = 0, если P &gt; 1%</w:t>
            </w:r>
          </w:p>
        </w:tc>
        <w:tc>
          <w:tcPr>
            <w:tcW w:w="2494" w:type="dxa"/>
          </w:tcPr>
          <w:p w:rsidR="006A7782" w:rsidRPr="00937186" w:rsidRDefault="006A7782" w:rsidP="00B04E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186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наличие/отсутствие нарушений, выявленных в ходе проверок в отчетном финансовом году</w:t>
            </w:r>
          </w:p>
        </w:tc>
      </w:tr>
    </w:tbl>
    <w:p w:rsidR="006A7782" w:rsidRDefault="006A7782" w:rsidP="006A7782">
      <w:pPr>
        <w:pStyle w:val="ConsPlusNormal"/>
        <w:jc w:val="both"/>
      </w:pPr>
    </w:p>
    <w:p w:rsidR="006A7782" w:rsidRDefault="006A7782" w:rsidP="006A7782">
      <w:pPr>
        <w:pStyle w:val="ConsPlusNormal"/>
        <w:jc w:val="both"/>
      </w:pPr>
    </w:p>
    <w:p w:rsidR="001F5408" w:rsidRDefault="001F5408"/>
    <w:sectPr w:rsidR="001F5408" w:rsidSect="00062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82"/>
    <w:rsid w:val="00041913"/>
    <w:rsid w:val="000452B1"/>
    <w:rsid w:val="00062729"/>
    <w:rsid w:val="00063737"/>
    <w:rsid w:val="000E019F"/>
    <w:rsid w:val="001F5408"/>
    <w:rsid w:val="002569C3"/>
    <w:rsid w:val="00295A41"/>
    <w:rsid w:val="00297AC1"/>
    <w:rsid w:val="003022D2"/>
    <w:rsid w:val="0034723C"/>
    <w:rsid w:val="00353FD7"/>
    <w:rsid w:val="00367C6C"/>
    <w:rsid w:val="003C33FE"/>
    <w:rsid w:val="004A4291"/>
    <w:rsid w:val="005E229E"/>
    <w:rsid w:val="006037D9"/>
    <w:rsid w:val="006264B7"/>
    <w:rsid w:val="00694766"/>
    <w:rsid w:val="006A7782"/>
    <w:rsid w:val="006B61A9"/>
    <w:rsid w:val="006D53B9"/>
    <w:rsid w:val="00820D5A"/>
    <w:rsid w:val="00937186"/>
    <w:rsid w:val="00955C24"/>
    <w:rsid w:val="009A4212"/>
    <w:rsid w:val="009B1D2E"/>
    <w:rsid w:val="00AB3EE5"/>
    <w:rsid w:val="00B36C3F"/>
    <w:rsid w:val="00D80436"/>
    <w:rsid w:val="00DE5509"/>
    <w:rsid w:val="00DF0B0E"/>
    <w:rsid w:val="00E3188D"/>
    <w:rsid w:val="00E561B0"/>
    <w:rsid w:val="00EF323C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8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84052CD9C7EB71108A006449874D0F361F8CC0C7E0BA79D254AF43C316963B903343E3FE4735AA35E6D39779F240B0j941H" TargetMode="Externa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884052CD9C7EB71108A006449874D0F361F8CC0C6E7BE7ED054AF43C316963B903343F1FE1F39AA36FDD0916CA411F5CDDE0895297B81E2E11ECBj547H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12</cp:revision>
  <dcterms:created xsi:type="dcterms:W3CDTF">2020-03-23T05:38:00Z</dcterms:created>
  <dcterms:modified xsi:type="dcterms:W3CDTF">2020-03-23T10:27:00Z</dcterms:modified>
</cp:coreProperties>
</file>