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4A" w:rsidRDefault="003C7C4A" w:rsidP="003C7C4A">
      <w:pPr>
        <w:tabs>
          <w:tab w:val="left" w:pos="720"/>
          <w:tab w:val="center" w:pos="4677"/>
        </w:tabs>
        <w:jc w:val="both"/>
        <w:rPr>
          <w:sz w:val="28"/>
          <w:szCs w:val="28"/>
        </w:rPr>
      </w:pPr>
    </w:p>
    <w:p w:rsidR="003C7C4A" w:rsidRPr="00FE365D" w:rsidRDefault="003C7C4A" w:rsidP="003C7C4A">
      <w:pPr>
        <w:jc w:val="center"/>
        <w:rPr>
          <w:b/>
          <w:sz w:val="32"/>
        </w:rPr>
      </w:pPr>
      <w:bookmarkStart w:id="0" w:name="_GoBack"/>
      <w:r w:rsidRPr="00FE365D">
        <w:rPr>
          <w:b/>
          <w:sz w:val="32"/>
        </w:rPr>
        <w:t xml:space="preserve">МУНИЦИПАЛЬНОЕ УЧРЕЖДЕНИЕ </w:t>
      </w:r>
    </w:p>
    <w:p w:rsidR="003C7C4A" w:rsidRPr="00FE365D" w:rsidRDefault="003C7C4A" w:rsidP="003C7C4A">
      <w:pPr>
        <w:jc w:val="center"/>
        <w:rPr>
          <w:b/>
          <w:sz w:val="32"/>
        </w:rPr>
      </w:pPr>
      <w:r w:rsidRPr="00FE365D">
        <w:rPr>
          <w:b/>
          <w:sz w:val="32"/>
        </w:rPr>
        <w:t xml:space="preserve">ФИНАНСОВОЕ УПРАВЛЕНИЕ </w:t>
      </w:r>
    </w:p>
    <w:p w:rsidR="003C7C4A" w:rsidRPr="00FE365D" w:rsidRDefault="003C7C4A" w:rsidP="003C7C4A">
      <w:pPr>
        <w:jc w:val="center"/>
        <w:rPr>
          <w:b/>
          <w:sz w:val="24"/>
        </w:rPr>
      </w:pPr>
      <w:r w:rsidRPr="00FE365D">
        <w:rPr>
          <w:b/>
          <w:sz w:val="32"/>
        </w:rPr>
        <w:t>АДМИНИСТРАЦИИ  МУНИЦИПАЛЬНОГО</w:t>
      </w:r>
      <w:r>
        <w:rPr>
          <w:b/>
          <w:sz w:val="32"/>
        </w:rPr>
        <w:t xml:space="preserve"> </w:t>
      </w:r>
      <w:r w:rsidRPr="00FE365D">
        <w:rPr>
          <w:b/>
          <w:sz w:val="32"/>
        </w:rPr>
        <w:t xml:space="preserve">ОБРАЗОВАНИЯ «БИЧУРСКИЙ РАЙОН» </w:t>
      </w:r>
    </w:p>
    <w:p w:rsidR="003C7C4A" w:rsidRPr="00FE365D" w:rsidRDefault="003C7C4A" w:rsidP="003C7C4A">
      <w:pPr>
        <w:jc w:val="center"/>
        <w:rPr>
          <w:b/>
          <w:sz w:val="22"/>
        </w:rPr>
      </w:pPr>
      <w:r>
        <w:rPr>
          <w:b/>
          <w:noProof/>
          <w:sz w:val="2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80010</wp:posOffset>
                </wp:positionV>
                <wp:extent cx="6853555" cy="635"/>
                <wp:effectExtent l="13335" t="6985" r="1016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485.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" strokeweight="1pt">
                <v:stroke startarrowwidth="narrow" startarrowlength="short" endarrowwidth="narrow" endarrowlength="short"/>
              </v:line>
            </w:pict>
          </mc:Fallback>
        </mc:AlternateContent>
      </w:r>
    </w:p>
    <w:p w:rsidR="003C7C4A" w:rsidRPr="00FE365D" w:rsidRDefault="003C7C4A" w:rsidP="003C7C4A">
      <w:pPr>
        <w:rPr>
          <w:b/>
          <w:sz w:val="22"/>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34290</wp:posOffset>
                </wp:positionV>
                <wp:extent cx="6853555" cy="635"/>
                <wp:effectExtent l="13335" t="17145" r="1968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485.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" strokeweight="2pt">
                <v:stroke startarrowwidth="narrow" startarrowlength="short" endarrowwidth="narrow" endarrowlength="short"/>
              </v:line>
            </w:pict>
          </mc:Fallback>
        </mc:AlternateContent>
      </w:r>
    </w:p>
    <w:p w:rsidR="003C7C4A" w:rsidRDefault="003C7C4A" w:rsidP="003C7C4A">
      <w:pPr>
        <w:tabs>
          <w:tab w:val="left" w:pos="720"/>
          <w:tab w:val="center" w:pos="4677"/>
        </w:tabs>
        <w:jc w:val="center"/>
        <w:rPr>
          <w:b/>
          <w:sz w:val="28"/>
          <w:szCs w:val="28"/>
        </w:rPr>
      </w:pPr>
    </w:p>
    <w:p w:rsidR="003C7C4A" w:rsidRPr="00B8575B" w:rsidRDefault="003C7C4A" w:rsidP="003C7C4A">
      <w:pPr>
        <w:tabs>
          <w:tab w:val="left" w:pos="720"/>
          <w:tab w:val="center" w:pos="4677"/>
        </w:tabs>
        <w:spacing w:line="276" w:lineRule="auto"/>
        <w:jc w:val="center"/>
        <w:rPr>
          <w:b/>
          <w:sz w:val="28"/>
          <w:szCs w:val="28"/>
        </w:rPr>
      </w:pPr>
      <w:r w:rsidRPr="00B8575B">
        <w:rPr>
          <w:b/>
          <w:sz w:val="28"/>
          <w:szCs w:val="28"/>
        </w:rPr>
        <w:t>Информация</w:t>
      </w:r>
    </w:p>
    <w:p w:rsidR="003C7C4A" w:rsidRPr="00B8575B" w:rsidRDefault="003C7C4A" w:rsidP="003C7C4A">
      <w:pPr>
        <w:tabs>
          <w:tab w:val="left" w:pos="720"/>
          <w:tab w:val="center" w:pos="4677"/>
        </w:tabs>
        <w:spacing w:line="276" w:lineRule="auto"/>
        <w:jc w:val="center"/>
        <w:rPr>
          <w:b/>
          <w:sz w:val="28"/>
          <w:szCs w:val="28"/>
        </w:rPr>
      </w:pPr>
      <w:r w:rsidRPr="00B8575B">
        <w:rPr>
          <w:b/>
          <w:sz w:val="28"/>
          <w:szCs w:val="28"/>
        </w:rPr>
        <w:t>о проведении мониторинга качества финансового менеджмента, осуществляемого главными распорядителями средств местного бюджета</w:t>
      </w:r>
    </w:p>
    <w:p w:rsidR="003C7C4A" w:rsidRPr="00B8575B" w:rsidRDefault="003C7C4A" w:rsidP="003C7C4A">
      <w:pPr>
        <w:tabs>
          <w:tab w:val="left" w:pos="720"/>
          <w:tab w:val="center" w:pos="4677"/>
        </w:tabs>
        <w:spacing w:line="276" w:lineRule="auto"/>
        <w:jc w:val="center"/>
        <w:rPr>
          <w:b/>
          <w:sz w:val="28"/>
          <w:szCs w:val="28"/>
        </w:rPr>
      </w:pPr>
      <w:r w:rsidRPr="00B8575B">
        <w:rPr>
          <w:b/>
          <w:sz w:val="28"/>
          <w:szCs w:val="28"/>
        </w:rPr>
        <w:t xml:space="preserve"> МО «Бичурский район» </w:t>
      </w:r>
    </w:p>
    <w:p w:rsidR="003C7C4A" w:rsidRDefault="003C7C4A" w:rsidP="003C7C4A">
      <w:pPr>
        <w:tabs>
          <w:tab w:val="left" w:pos="720"/>
          <w:tab w:val="center" w:pos="4677"/>
        </w:tabs>
        <w:spacing w:line="276" w:lineRule="auto"/>
        <w:jc w:val="center"/>
        <w:rPr>
          <w:b/>
          <w:sz w:val="28"/>
          <w:szCs w:val="28"/>
        </w:rPr>
      </w:pPr>
      <w:r w:rsidRPr="00B8575B">
        <w:rPr>
          <w:b/>
          <w:sz w:val="28"/>
          <w:szCs w:val="28"/>
        </w:rPr>
        <w:t>за 20</w:t>
      </w:r>
      <w:r>
        <w:rPr>
          <w:b/>
          <w:sz w:val="28"/>
          <w:szCs w:val="28"/>
        </w:rPr>
        <w:t>2</w:t>
      </w:r>
      <w:r w:rsidR="00A62149" w:rsidRPr="00A62149">
        <w:rPr>
          <w:b/>
          <w:sz w:val="28"/>
          <w:szCs w:val="28"/>
        </w:rPr>
        <w:t>2</w:t>
      </w:r>
      <w:r w:rsidRPr="00B8575B">
        <w:rPr>
          <w:b/>
          <w:sz w:val="28"/>
          <w:szCs w:val="28"/>
        </w:rPr>
        <w:t xml:space="preserve"> год</w:t>
      </w:r>
    </w:p>
    <w:p w:rsidR="003C7C4A" w:rsidRPr="00B8575B" w:rsidRDefault="003C7C4A" w:rsidP="003C7C4A">
      <w:pPr>
        <w:tabs>
          <w:tab w:val="left" w:pos="720"/>
          <w:tab w:val="center" w:pos="4677"/>
        </w:tabs>
        <w:spacing w:line="276" w:lineRule="auto"/>
        <w:jc w:val="center"/>
        <w:rPr>
          <w:b/>
          <w:sz w:val="28"/>
          <w:szCs w:val="28"/>
        </w:rPr>
      </w:pPr>
    </w:p>
    <w:p w:rsidR="003C7C4A" w:rsidRDefault="003C7C4A" w:rsidP="003C7C4A">
      <w:pPr>
        <w:tabs>
          <w:tab w:val="left" w:pos="720"/>
          <w:tab w:val="center" w:pos="4677"/>
        </w:tabs>
        <w:spacing w:line="276" w:lineRule="auto"/>
        <w:jc w:val="both"/>
        <w:rPr>
          <w:sz w:val="28"/>
          <w:szCs w:val="28"/>
        </w:rPr>
      </w:pPr>
      <w:r>
        <w:rPr>
          <w:sz w:val="28"/>
          <w:szCs w:val="28"/>
        </w:rPr>
        <w:tab/>
      </w:r>
      <w:proofErr w:type="gramStart"/>
      <w:r>
        <w:rPr>
          <w:sz w:val="28"/>
          <w:szCs w:val="28"/>
        </w:rPr>
        <w:t>В соответствии с постановлением  муниципального казенного учреждения Администрация МО «Бичурский район» от  28.12.2019г. № 630 «О порядке проведения мониторинга качества финансового менеджмента, осуществляемого главными распорядителями средств бюджета МО «Бичурский район»», Финансовым управлением администрации МО «Бичурский район» проведен мониторинг качества финансового менеджмента главных распорядителей средств бюджета МО «Бичурский район» за 202</w:t>
      </w:r>
      <w:r w:rsidR="00A62149" w:rsidRPr="00A62149">
        <w:rPr>
          <w:sz w:val="28"/>
          <w:szCs w:val="28"/>
        </w:rPr>
        <w:t>2</w:t>
      </w:r>
      <w:r>
        <w:rPr>
          <w:sz w:val="28"/>
          <w:szCs w:val="28"/>
        </w:rPr>
        <w:t xml:space="preserve"> год (далее мониторинг).</w:t>
      </w:r>
      <w:proofErr w:type="gramEnd"/>
    </w:p>
    <w:p w:rsidR="003C7C4A" w:rsidRDefault="003C7C4A" w:rsidP="003C7C4A">
      <w:pPr>
        <w:tabs>
          <w:tab w:val="left" w:pos="720"/>
          <w:tab w:val="center" w:pos="4677"/>
        </w:tabs>
        <w:spacing w:line="276" w:lineRule="auto"/>
        <w:jc w:val="both"/>
        <w:rPr>
          <w:sz w:val="28"/>
          <w:szCs w:val="28"/>
        </w:rPr>
      </w:pPr>
      <w:r>
        <w:rPr>
          <w:sz w:val="28"/>
          <w:szCs w:val="28"/>
        </w:rPr>
        <w:tab/>
        <w:t>По результатам проведения  мониторинга составлен рейтинг главных распорядителей и определены показатели качества финансового менеджмента, исходя из общего количества набранных баллов и количества показателей, по которым проводился анализ:</w:t>
      </w:r>
    </w:p>
    <w:p w:rsidR="003C7C4A" w:rsidRDefault="003C7C4A" w:rsidP="003C7C4A">
      <w:pPr>
        <w:tabs>
          <w:tab w:val="left" w:pos="720"/>
          <w:tab w:val="center" w:pos="467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8"/>
      </w:tblGrid>
      <w:tr w:rsidR="003C7C4A" w:rsidRPr="00863A06" w:rsidTr="000C3624">
        <w:tc>
          <w:tcPr>
            <w:tcW w:w="6062"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Наименование главного распорядителя бюджетных средств</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 xml:space="preserve">Средний балл </w:t>
            </w:r>
          </w:p>
          <w:p w:rsidR="003C7C4A" w:rsidRPr="00863A06" w:rsidRDefault="003C7C4A" w:rsidP="00A62149">
            <w:pPr>
              <w:tabs>
                <w:tab w:val="left" w:pos="720"/>
                <w:tab w:val="center" w:pos="4677"/>
              </w:tabs>
              <w:jc w:val="center"/>
              <w:rPr>
                <w:sz w:val="28"/>
                <w:szCs w:val="28"/>
              </w:rPr>
            </w:pPr>
            <w:r w:rsidRPr="00863A06">
              <w:rPr>
                <w:sz w:val="28"/>
                <w:szCs w:val="28"/>
              </w:rPr>
              <w:t>за 20</w:t>
            </w:r>
            <w:r>
              <w:rPr>
                <w:sz w:val="28"/>
                <w:szCs w:val="28"/>
              </w:rPr>
              <w:t>2</w:t>
            </w:r>
            <w:r w:rsidR="00A62149">
              <w:rPr>
                <w:sz w:val="28"/>
                <w:szCs w:val="28"/>
                <w:lang w:val="en-US"/>
              </w:rPr>
              <w:t>2</w:t>
            </w:r>
            <w:r w:rsidRPr="00863A06">
              <w:rPr>
                <w:sz w:val="28"/>
                <w:szCs w:val="28"/>
              </w:rPr>
              <w:t xml:space="preserve"> год</w:t>
            </w:r>
          </w:p>
        </w:tc>
      </w:tr>
      <w:tr w:rsidR="003C7C4A" w:rsidRPr="00863A06" w:rsidTr="000C3624">
        <w:tc>
          <w:tcPr>
            <w:tcW w:w="6062" w:type="dxa"/>
            <w:shd w:val="clear" w:color="auto" w:fill="auto"/>
          </w:tcPr>
          <w:p w:rsidR="003C7C4A" w:rsidRPr="00863A06" w:rsidRDefault="003C7C4A" w:rsidP="000C3624">
            <w:pPr>
              <w:tabs>
                <w:tab w:val="left" w:pos="720"/>
                <w:tab w:val="center" w:pos="4677"/>
              </w:tabs>
              <w:rPr>
                <w:sz w:val="28"/>
                <w:szCs w:val="28"/>
              </w:rPr>
            </w:pPr>
            <w:r w:rsidRPr="00863A06">
              <w:rPr>
                <w:sz w:val="28"/>
                <w:szCs w:val="28"/>
              </w:rPr>
              <w:t>Муниципальное казенное учреждение Администрация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Pr>
                <w:sz w:val="28"/>
                <w:szCs w:val="28"/>
              </w:rPr>
              <w:t>4,0</w:t>
            </w:r>
          </w:p>
        </w:tc>
      </w:tr>
      <w:tr w:rsidR="003C7C4A" w:rsidRPr="00863A06" w:rsidTr="000C3624">
        <w:tc>
          <w:tcPr>
            <w:tcW w:w="6062" w:type="dxa"/>
            <w:shd w:val="clear" w:color="auto" w:fill="auto"/>
          </w:tcPr>
          <w:p w:rsidR="003C7C4A" w:rsidRPr="00863A06" w:rsidRDefault="003C7C4A" w:rsidP="000C3624">
            <w:pPr>
              <w:tabs>
                <w:tab w:val="left" w:pos="720"/>
                <w:tab w:val="center" w:pos="4677"/>
              </w:tabs>
              <w:rPr>
                <w:sz w:val="28"/>
                <w:szCs w:val="28"/>
              </w:rPr>
            </w:pPr>
            <w:r w:rsidRPr="00863A06">
              <w:rPr>
                <w:sz w:val="28"/>
                <w:szCs w:val="28"/>
              </w:rPr>
              <w:t>Муниципальное учреждение районное управление образованием администрации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2,8</w:t>
            </w:r>
          </w:p>
        </w:tc>
      </w:tr>
      <w:tr w:rsidR="003C7C4A" w:rsidRPr="00863A06" w:rsidTr="000C3624">
        <w:tc>
          <w:tcPr>
            <w:tcW w:w="6062" w:type="dxa"/>
            <w:shd w:val="clear" w:color="auto" w:fill="auto"/>
          </w:tcPr>
          <w:p w:rsidR="003C7C4A" w:rsidRPr="00863A06" w:rsidRDefault="003C7C4A" w:rsidP="000C3624">
            <w:pPr>
              <w:tabs>
                <w:tab w:val="left" w:pos="720"/>
                <w:tab w:val="center" w:pos="4677"/>
              </w:tabs>
              <w:rPr>
                <w:sz w:val="28"/>
                <w:szCs w:val="28"/>
              </w:rPr>
            </w:pPr>
            <w:r w:rsidRPr="00863A06">
              <w:rPr>
                <w:sz w:val="28"/>
                <w:szCs w:val="28"/>
              </w:rPr>
              <w:t>Муниципальное казенное учреждение Совет депутатов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5,0</w:t>
            </w:r>
          </w:p>
        </w:tc>
      </w:tr>
      <w:tr w:rsidR="003C7C4A" w:rsidRPr="00863A06" w:rsidTr="000C3624">
        <w:tc>
          <w:tcPr>
            <w:tcW w:w="6062" w:type="dxa"/>
            <w:shd w:val="clear" w:color="auto" w:fill="auto"/>
          </w:tcPr>
          <w:p w:rsidR="003C7C4A" w:rsidRPr="00863A06" w:rsidRDefault="003C7C4A" w:rsidP="000C3624">
            <w:pPr>
              <w:tabs>
                <w:tab w:val="left" w:pos="720"/>
                <w:tab w:val="center" w:pos="4677"/>
              </w:tabs>
              <w:rPr>
                <w:sz w:val="28"/>
                <w:szCs w:val="28"/>
              </w:rPr>
            </w:pPr>
            <w:r w:rsidRPr="00863A06">
              <w:rPr>
                <w:sz w:val="28"/>
                <w:szCs w:val="28"/>
              </w:rPr>
              <w:t>Муниципальное учреждение Управление культуры администрации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Pr>
                <w:sz w:val="28"/>
                <w:szCs w:val="28"/>
              </w:rPr>
              <w:t>3,9</w:t>
            </w:r>
          </w:p>
        </w:tc>
      </w:tr>
      <w:tr w:rsidR="003C7C4A" w:rsidRPr="00863A06" w:rsidTr="000C3624">
        <w:tc>
          <w:tcPr>
            <w:tcW w:w="6062" w:type="dxa"/>
            <w:shd w:val="clear" w:color="auto" w:fill="auto"/>
          </w:tcPr>
          <w:p w:rsidR="003C7C4A" w:rsidRPr="00863A06" w:rsidRDefault="003C7C4A" w:rsidP="000C3624">
            <w:pPr>
              <w:tabs>
                <w:tab w:val="left" w:pos="720"/>
                <w:tab w:val="center" w:pos="4677"/>
              </w:tabs>
              <w:rPr>
                <w:sz w:val="28"/>
                <w:szCs w:val="28"/>
              </w:rPr>
            </w:pPr>
            <w:r w:rsidRPr="00863A06">
              <w:rPr>
                <w:sz w:val="28"/>
                <w:szCs w:val="28"/>
              </w:rPr>
              <w:t>Муниципальное учреждение Финансовое управление Администрации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5,0</w:t>
            </w:r>
          </w:p>
        </w:tc>
      </w:tr>
      <w:tr w:rsidR="003C7C4A" w:rsidRPr="00863A06" w:rsidTr="000C3624">
        <w:tc>
          <w:tcPr>
            <w:tcW w:w="6062" w:type="dxa"/>
            <w:shd w:val="clear" w:color="auto" w:fill="auto"/>
          </w:tcPr>
          <w:p w:rsidR="003C7C4A" w:rsidRPr="00863A06" w:rsidRDefault="003C7C4A" w:rsidP="000C3624">
            <w:pPr>
              <w:tabs>
                <w:tab w:val="left" w:pos="945"/>
              </w:tabs>
              <w:rPr>
                <w:sz w:val="28"/>
                <w:szCs w:val="28"/>
              </w:rPr>
            </w:pPr>
            <w:r w:rsidRPr="00863A06">
              <w:rPr>
                <w:sz w:val="28"/>
                <w:szCs w:val="28"/>
              </w:rPr>
              <w:lastRenderedPageBreak/>
              <w:t>Муниципальное казенное учреждение Контрольно-счетная палата Муниципального образования «Бичурский район»</w:t>
            </w:r>
          </w:p>
        </w:tc>
        <w:tc>
          <w:tcPr>
            <w:tcW w:w="3508" w:type="dxa"/>
            <w:shd w:val="clear" w:color="auto" w:fill="auto"/>
          </w:tcPr>
          <w:p w:rsidR="003C7C4A" w:rsidRPr="00863A06" w:rsidRDefault="003C7C4A" w:rsidP="000C3624">
            <w:pPr>
              <w:tabs>
                <w:tab w:val="left" w:pos="720"/>
                <w:tab w:val="center" w:pos="4677"/>
              </w:tabs>
              <w:jc w:val="center"/>
              <w:rPr>
                <w:sz w:val="28"/>
                <w:szCs w:val="28"/>
              </w:rPr>
            </w:pPr>
            <w:r w:rsidRPr="00863A06">
              <w:rPr>
                <w:sz w:val="28"/>
                <w:szCs w:val="28"/>
              </w:rPr>
              <w:t>5,0</w:t>
            </w:r>
          </w:p>
        </w:tc>
      </w:tr>
    </w:tbl>
    <w:p w:rsidR="003C7C4A" w:rsidRDefault="003C7C4A" w:rsidP="003C7C4A">
      <w:pPr>
        <w:tabs>
          <w:tab w:val="left" w:pos="720"/>
          <w:tab w:val="center" w:pos="4677"/>
        </w:tabs>
        <w:rPr>
          <w:sz w:val="28"/>
          <w:szCs w:val="28"/>
        </w:rPr>
      </w:pPr>
    </w:p>
    <w:p w:rsidR="003C7C4A" w:rsidRDefault="003C7C4A" w:rsidP="003C7C4A">
      <w:pPr>
        <w:tabs>
          <w:tab w:val="left" w:pos="720"/>
          <w:tab w:val="center" w:pos="4677"/>
        </w:tabs>
        <w:jc w:val="both"/>
        <w:rPr>
          <w:sz w:val="28"/>
          <w:szCs w:val="28"/>
        </w:rPr>
      </w:pPr>
      <w:r>
        <w:rPr>
          <w:sz w:val="28"/>
          <w:szCs w:val="28"/>
        </w:rPr>
        <w:t xml:space="preserve">               </w:t>
      </w:r>
    </w:p>
    <w:p w:rsidR="003C7C4A" w:rsidRDefault="003C7C4A" w:rsidP="003C7C4A">
      <w:pPr>
        <w:jc w:val="both"/>
        <w:rPr>
          <w:sz w:val="28"/>
          <w:szCs w:val="28"/>
        </w:rPr>
      </w:pPr>
      <w:r>
        <w:rPr>
          <w:sz w:val="28"/>
          <w:szCs w:val="28"/>
        </w:rPr>
        <w:t>Начальник МУ финансовое управление</w:t>
      </w:r>
    </w:p>
    <w:p w:rsidR="003C7C4A" w:rsidRPr="009209A9" w:rsidRDefault="003C7C4A" w:rsidP="003C7C4A">
      <w:pPr>
        <w:jc w:val="both"/>
        <w:rPr>
          <w:sz w:val="28"/>
          <w:szCs w:val="28"/>
        </w:rPr>
      </w:pPr>
      <w:r>
        <w:rPr>
          <w:sz w:val="28"/>
          <w:szCs w:val="28"/>
        </w:rPr>
        <w:t xml:space="preserve">Администрации МО «Бичурский район»                               </w:t>
      </w:r>
      <w:proofErr w:type="spellStart"/>
      <w:r>
        <w:rPr>
          <w:sz w:val="28"/>
          <w:szCs w:val="28"/>
        </w:rPr>
        <w:t>В.Н.Оленникова</w:t>
      </w:r>
      <w:proofErr w:type="spellEnd"/>
    </w:p>
    <w:p w:rsidR="003C7C4A" w:rsidRPr="009209A9" w:rsidRDefault="003C7C4A" w:rsidP="003C7C4A">
      <w:pPr>
        <w:jc w:val="center"/>
        <w:rPr>
          <w:b/>
          <w:sz w:val="28"/>
          <w:szCs w:val="28"/>
        </w:rPr>
      </w:pPr>
    </w:p>
    <w:bookmarkEnd w:id="0"/>
    <w:p w:rsidR="00827450" w:rsidRDefault="00A62149"/>
    <w:sectPr w:rsidR="00827450" w:rsidSect="003C7C4A">
      <w:footerReference w:type="even" r:id="rId7"/>
      <w:footerReference w:type="default" r:id="rId8"/>
      <w:pgSz w:w="11906" w:h="16838"/>
      <w:pgMar w:top="851" w:right="42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2149">
      <w:r>
        <w:separator/>
      </w:r>
    </w:p>
  </w:endnote>
  <w:endnote w:type="continuationSeparator" w:id="0">
    <w:p w:rsidR="00000000" w:rsidRDefault="00A6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34" w:rsidRDefault="003C7C4A" w:rsidP="00974B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4334" w:rsidRDefault="00A62149" w:rsidP="00417D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34" w:rsidRDefault="003C7C4A" w:rsidP="00974B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2149">
      <w:rPr>
        <w:rStyle w:val="a5"/>
        <w:noProof/>
      </w:rPr>
      <w:t>2</w:t>
    </w:r>
    <w:r>
      <w:rPr>
        <w:rStyle w:val="a5"/>
      </w:rPr>
      <w:fldChar w:fldCharType="end"/>
    </w:r>
  </w:p>
  <w:p w:rsidR="006D4334" w:rsidRDefault="00A62149" w:rsidP="00417DA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2149">
      <w:r>
        <w:separator/>
      </w:r>
    </w:p>
  </w:footnote>
  <w:footnote w:type="continuationSeparator" w:id="0">
    <w:p w:rsidR="00000000" w:rsidRDefault="00A62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4A"/>
    <w:rsid w:val="003C7C4A"/>
    <w:rsid w:val="00582AC6"/>
    <w:rsid w:val="00841CD6"/>
    <w:rsid w:val="00A6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7C4A"/>
    <w:pPr>
      <w:tabs>
        <w:tab w:val="center" w:pos="4677"/>
        <w:tab w:val="right" w:pos="9355"/>
      </w:tabs>
    </w:pPr>
  </w:style>
  <w:style w:type="character" w:customStyle="1" w:styleId="a4">
    <w:name w:val="Нижний колонтитул Знак"/>
    <w:basedOn w:val="a0"/>
    <w:link w:val="a3"/>
    <w:rsid w:val="003C7C4A"/>
    <w:rPr>
      <w:rFonts w:ascii="Times New Roman" w:eastAsia="Times New Roman" w:hAnsi="Times New Roman" w:cs="Times New Roman"/>
      <w:sz w:val="20"/>
      <w:szCs w:val="20"/>
      <w:lang w:eastAsia="ru-RU"/>
    </w:rPr>
  </w:style>
  <w:style w:type="character" w:styleId="a5">
    <w:name w:val="page number"/>
    <w:basedOn w:val="a0"/>
    <w:rsid w:val="003C7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7C4A"/>
    <w:pPr>
      <w:tabs>
        <w:tab w:val="center" w:pos="4677"/>
        <w:tab w:val="right" w:pos="9355"/>
      </w:tabs>
    </w:pPr>
  </w:style>
  <w:style w:type="character" w:customStyle="1" w:styleId="a4">
    <w:name w:val="Нижний колонтитул Знак"/>
    <w:basedOn w:val="a0"/>
    <w:link w:val="a3"/>
    <w:rsid w:val="003C7C4A"/>
    <w:rPr>
      <w:rFonts w:ascii="Times New Roman" w:eastAsia="Times New Roman" w:hAnsi="Times New Roman" w:cs="Times New Roman"/>
      <w:sz w:val="20"/>
      <w:szCs w:val="20"/>
      <w:lang w:eastAsia="ru-RU"/>
    </w:rPr>
  </w:style>
  <w:style w:type="character" w:styleId="a5">
    <w:name w:val="page number"/>
    <w:basedOn w:val="a0"/>
    <w:rsid w:val="003C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dc:creator>
  <cp:lastModifiedBy>R16</cp:lastModifiedBy>
  <cp:revision>2</cp:revision>
  <dcterms:created xsi:type="dcterms:W3CDTF">2024-03-19T08:18:00Z</dcterms:created>
  <dcterms:modified xsi:type="dcterms:W3CDTF">2024-03-19T08:18:00Z</dcterms:modified>
</cp:coreProperties>
</file>