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CE" w:rsidRPr="00841FCE" w:rsidRDefault="00841FCE" w:rsidP="00841FCE">
      <w:pPr>
        <w:rPr>
          <w:rFonts w:ascii="Times New Roman" w:hAnsi="Times New Roman" w:cs="Times New Roman"/>
          <w:b/>
          <w:bCs/>
          <w:sz w:val="28"/>
          <w:szCs w:val="28"/>
        </w:rPr>
      </w:pPr>
      <w:r w:rsidRPr="00841FCE">
        <w:rPr>
          <w:rFonts w:ascii="Times New Roman" w:hAnsi="Times New Roman" w:cs="Times New Roman"/>
          <w:b/>
          <w:bCs/>
          <w:sz w:val="28"/>
          <w:szCs w:val="28"/>
        </w:rPr>
        <w:t>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 (не вступило в силу)</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5 сентября 2018</w:t>
      </w:r>
    </w:p>
    <w:p w:rsidR="00841FCE" w:rsidRPr="00841FCE" w:rsidRDefault="00841FCE" w:rsidP="00841FCE">
      <w:pPr>
        <w:rPr>
          <w:rFonts w:ascii="Times New Roman" w:hAnsi="Times New Roman" w:cs="Times New Roman"/>
          <w:sz w:val="28"/>
          <w:szCs w:val="28"/>
        </w:rPr>
      </w:pPr>
      <w:bookmarkStart w:id="0" w:name="0"/>
      <w:bookmarkEnd w:id="0"/>
      <w:r w:rsidRPr="00841FCE">
        <w:rPr>
          <w:rFonts w:ascii="Times New Roman" w:hAnsi="Times New Roman" w:cs="Times New Roman"/>
          <w:sz w:val="28"/>
          <w:szCs w:val="28"/>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 Утвердить прилагаемые </w:t>
      </w:r>
      <w:hyperlink r:id="rId5" w:anchor="41" w:history="1">
        <w:r w:rsidRPr="00841FCE">
          <w:rPr>
            <w:rStyle w:val="a5"/>
            <w:rFonts w:ascii="Times New Roman" w:hAnsi="Times New Roman" w:cs="Times New Roman"/>
            <w:sz w:val="28"/>
            <w:szCs w:val="28"/>
          </w:rPr>
          <w:t>Правила</w:t>
        </w:r>
      </w:hyperlink>
      <w:r w:rsidRPr="00841FCE">
        <w:rPr>
          <w:rFonts w:ascii="Times New Roman" w:hAnsi="Times New Roman" w:cs="Times New Roman"/>
          <w:sz w:val="28"/>
          <w:szCs w:val="28"/>
        </w:rPr>
        <w:t> обустройства мест (площадок) накопления твердых коммунальных отходов и ведения их реестра.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 Настоящее постановление вступает в силу с 1 января 2019 г.</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841FCE" w:rsidRPr="00841FCE" w:rsidTr="00841FCE">
        <w:tc>
          <w:tcPr>
            <w:tcW w:w="2500" w:type="pct"/>
            <w:hideMark/>
          </w:tcPr>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Председатель Правительства</w:t>
            </w:r>
            <w:r w:rsidRPr="00841FCE">
              <w:rPr>
                <w:rFonts w:ascii="Times New Roman" w:hAnsi="Times New Roman" w:cs="Times New Roman"/>
                <w:sz w:val="28"/>
                <w:szCs w:val="28"/>
              </w:rPr>
              <w:br/>
              <w:t>Российской Федерации</w:t>
            </w:r>
          </w:p>
        </w:tc>
        <w:tc>
          <w:tcPr>
            <w:tcW w:w="2500" w:type="pct"/>
            <w:hideMark/>
          </w:tcPr>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 Медведев</w:t>
            </w:r>
          </w:p>
        </w:tc>
      </w:tr>
    </w:tbl>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УТВЕРЖДЕНЫ</w:t>
      </w:r>
      <w:r w:rsidRPr="00841FCE">
        <w:rPr>
          <w:rFonts w:ascii="Times New Roman" w:hAnsi="Times New Roman" w:cs="Times New Roman"/>
          <w:sz w:val="28"/>
          <w:szCs w:val="28"/>
        </w:rPr>
        <w:br/>
      </w:r>
      <w:hyperlink r:id="rId6" w:anchor="0" w:history="1">
        <w:r w:rsidRPr="00841FCE">
          <w:rPr>
            <w:rStyle w:val="a5"/>
            <w:rFonts w:ascii="Times New Roman" w:hAnsi="Times New Roman" w:cs="Times New Roman"/>
            <w:sz w:val="28"/>
            <w:szCs w:val="28"/>
          </w:rPr>
          <w:t>постановлением</w:t>
        </w:r>
      </w:hyperlink>
      <w:r w:rsidRPr="00841FCE">
        <w:rPr>
          <w:rFonts w:ascii="Times New Roman" w:hAnsi="Times New Roman" w:cs="Times New Roman"/>
          <w:sz w:val="28"/>
          <w:szCs w:val="28"/>
        </w:rPr>
        <w:t> Правительства</w:t>
      </w:r>
      <w:r w:rsidRPr="00841FCE">
        <w:rPr>
          <w:rFonts w:ascii="Times New Roman" w:hAnsi="Times New Roman" w:cs="Times New Roman"/>
          <w:sz w:val="28"/>
          <w:szCs w:val="28"/>
        </w:rPr>
        <w:br/>
        <w:t>Российской Федерации</w:t>
      </w:r>
      <w:r w:rsidRPr="00841FCE">
        <w:rPr>
          <w:rFonts w:ascii="Times New Roman" w:hAnsi="Times New Roman" w:cs="Times New Roman"/>
          <w:sz w:val="28"/>
          <w:szCs w:val="28"/>
        </w:rPr>
        <w:br/>
        <w:t>от 31 августа 2018 г. N 1039</w:t>
      </w:r>
    </w:p>
    <w:p w:rsidR="00841FCE" w:rsidRPr="00841FCE" w:rsidRDefault="00841FCE" w:rsidP="00841FCE">
      <w:pPr>
        <w:rPr>
          <w:rFonts w:ascii="Times New Roman" w:hAnsi="Times New Roman" w:cs="Times New Roman"/>
          <w:b/>
          <w:bCs/>
          <w:sz w:val="28"/>
          <w:szCs w:val="28"/>
        </w:rPr>
      </w:pPr>
      <w:r w:rsidRPr="00841FCE">
        <w:rPr>
          <w:rFonts w:ascii="Times New Roman" w:hAnsi="Times New Roman" w:cs="Times New Roman"/>
          <w:b/>
          <w:bCs/>
          <w:sz w:val="28"/>
          <w:szCs w:val="28"/>
        </w:rPr>
        <w:t>Правила</w:t>
      </w:r>
      <w:r w:rsidRPr="00841FCE">
        <w:rPr>
          <w:rFonts w:ascii="Times New Roman" w:hAnsi="Times New Roman" w:cs="Times New Roman"/>
          <w:b/>
          <w:bCs/>
          <w:sz w:val="28"/>
          <w:szCs w:val="28"/>
        </w:rPr>
        <w:br/>
        <w:t>обустройства мест (площадок) накопления твердых коммунальных отходов и ведения их реестра</w:t>
      </w:r>
    </w:p>
    <w:p w:rsidR="00841FCE" w:rsidRPr="00841FCE" w:rsidRDefault="00841FCE" w:rsidP="00841FCE">
      <w:pPr>
        <w:rPr>
          <w:rFonts w:ascii="Times New Roman" w:hAnsi="Times New Roman" w:cs="Times New Roman"/>
          <w:b/>
          <w:bCs/>
          <w:sz w:val="28"/>
          <w:szCs w:val="28"/>
        </w:rPr>
      </w:pPr>
      <w:r w:rsidRPr="00841FCE">
        <w:rPr>
          <w:rFonts w:ascii="Times New Roman" w:hAnsi="Times New Roman" w:cs="Times New Roman"/>
          <w:b/>
          <w:bCs/>
          <w:sz w:val="28"/>
          <w:szCs w:val="28"/>
        </w:rPr>
        <w:t>I. Общие положения</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w:t>
      </w:r>
      <w:r w:rsidRPr="00841FCE">
        <w:rPr>
          <w:rFonts w:ascii="Times New Roman" w:hAnsi="Times New Roman" w:cs="Times New Roman"/>
          <w:sz w:val="28"/>
          <w:szCs w:val="28"/>
        </w:rPr>
        <w:lastRenderedPageBreak/>
        <w:t>законодательства Российской Федерации, а также правилам благоустройства муниципальных образований.</w:t>
      </w:r>
    </w:p>
    <w:p w:rsidR="00841FCE" w:rsidRPr="00841FCE" w:rsidRDefault="00841FCE" w:rsidP="00841FCE">
      <w:pPr>
        <w:rPr>
          <w:rFonts w:ascii="Times New Roman" w:hAnsi="Times New Roman" w:cs="Times New Roman"/>
          <w:b/>
          <w:bCs/>
          <w:sz w:val="28"/>
          <w:szCs w:val="28"/>
        </w:rPr>
      </w:pPr>
      <w:r w:rsidRPr="00841FCE">
        <w:rPr>
          <w:rFonts w:ascii="Times New Roman" w:hAnsi="Times New Roman" w:cs="Times New Roman"/>
          <w:b/>
          <w:bCs/>
          <w:sz w:val="28"/>
          <w:szCs w:val="28"/>
        </w:rPr>
        <w:t>II. Порядок создания мест (площадок)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 xml:space="preserve">4. </w:t>
      </w:r>
      <w:proofErr w:type="gramStart"/>
      <w:r w:rsidRPr="00841FCE">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5. Уполномоченный орган рассматривает заявку в срок не позднее 10 календарных дней со дня ее поступления.</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w:t>
      </w:r>
      <w:r w:rsidRPr="00841FCE">
        <w:rPr>
          <w:rFonts w:ascii="Times New Roman" w:hAnsi="Times New Roman" w:cs="Times New Roman"/>
          <w:sz w:val="28"/>
          <w:szCs w:val="28"/>
        </w:rPr>
        <w:lastRenderedPageBreak/>
        <w:t>заключение и направляет его в уполномоченный орган в срок не позднее 5 календарных дней со дня поступления запроса.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8. Основаниями отказа уполномоченного органа в согласовании создания места (площадки) накопления твердых коммунальных отходов являются:</w:t>
      </w:r>
    </w:p>
    <w:p w:rsidR="00841FCE" w:rsidRPr="00841FCE" w:rsidRDefault="00841FCE" w:rsidP="00841FCE">
      <w:pPr>
        <w:rPr>
          <w:rFonts w:ascii="Times New Roman" w:hAnsi="Times New Roman" w:cs="Times New Roman"/>
          <w:sz w:val="28"/>
          <w:szCs w:val="28"/>
        </w:rPr>
      </w:pPr>
      <w:proofErr w:type="gramStart"/>
      <w:r w:rsidRPr="00841FCE">
        <w:rPr>
          <w:rFonts w:ascii="Times New Roman" w:hAnsi="Times New Roman" w:cs="Times New Roman"/>
          <w:sz w:val="28"/>
          <w:szCs w:val="28"/>
        </w:rPr>
        <w:t>а) несоответствие заявки установленной форме;</w:t>
      </w:r>
      <w:proofErr w:type="gramEnd"/>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9. О принятом решении уполномоченный орган уведомляет заявителя в срок, установленный </w:t>
      </w:r>
      <w:hyperlink r:id="rId7" w:anchor="5" w:history="1">
        <w:r w:rsidRPr="00841FCE">
          <w:rPr>
            <w:rStyle w:val="a5"/>
            <w:rFonts w:ascii="Times New Roman" w:hAnsi="Times New Roman" w:cs="Times New Roman"/>
            <w:sz w:val="28"/>
            <w:szCs w:val="28"/>
          </w:rPr>
          <w:t>пунктами 5</w:t>
        </w:r>
      </w:hyperlink>
      <w:r w:rsidRPr="00841FCE">
        <w:rPr>
          <w:rFonts w:ascii="Times New Roman" w:hAnsi="Times New Roman" w:cs="Times New Roman"/>
          <w:sz w:val="28"/>
          <w:szCs w:val="28"/>
        </w:rPr>
        <w:t> и </w:t>
      </w:r>
      <w:hyperlink r:id="rId8" w:anchor="6" w:history="1">
        <w:r w:rsidRPr="00841FCE">
          <w:rPr>
            <w:rStyle w:val="a5"/>
            <w:rFonts w:ascii="Times New Roman" w:hAnsi="Times New Roman" w:cs="Times New Roman"/>
            <w:sz w:val="28"/>
            <w:szCs w:val="28"/>
          </w:rPr>
          <w:t>6</w:t>
        </w:r>
      </w:hyperlink>
      <w:r w:rsidRPr="00841FCE">
        <w:rPr>
          <w:rFonts w:ascii="Times New Roman" w:hAnsi="Times New Roman" w:cs="Times New Roman"/>
          <w:sz w:val="28"/>
          <w:szCs w:val="28"/>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841FCE" w:rsidRPr="00841FCE" w:rsidRDefault="00841FCE" w:rsidP="00841FCE">
      <w:pPr>
        <w:rPr>
          <w:rFonts w:ascii="Times New Roman" w:hAnsi="Times New Roman" w:cs="Times New Roman"/>
          <w:b/>
          <w:bCs/>
          <w:sz w:val="28"/>
          <w:szCs w:val="28"/>
        </w:rPr>
      </w:pPr>
      <w:r w:rsidRPr="00841FCE">
        <w:rPr>
          <w:rFonts w:ascii="Times New Roman" w:hAnsi="Times New Roman" w:cs="Times New Roman"/>
          <w:b/>
          <w:bCs/>
          <w:sz w:val="28"/>
          <w:szCs w:val="28"/>
        </w:rPr>
        <w:t>III. Правила формирования и ведения реестра мест (площадок) накопления твердых коммунальных отходов, требования к его содержанию</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lastRenderedPageBreak/>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 xml:space="preserve">13. </w:t>
      </w:r>
      <w:proofErr w:type="gramStart"/>
      <w:r w:rsidRPr="00841FCE">
        <w:rPr>
          <w:rFonts w:ascii="Times New Roman" w:hAnsi="Times New Roman" w:cs="Times New Roman"/>
          <w:sz w:val="28"/>
          <w:szCs w:val="28"/>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841FCE">
        <w:rPr>
          <w:rFonts w:ascii="Times New Roman" w:hAnsi="Times New Roman" w:cs="Times New Roman"/>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14. Реестр ведется на государственном языке Российской Федерации.</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данные о нахождении мест (площадок)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данные о собственниках мест (площадок)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 xml:space="preserve">16. Раздел "Данные о нахождении мест (площадок) накопления твердых коммунальных отходов" содержит сведения об адресе и (или) </w:t>
      </w:r>
      <w:r w:rsidRPr="00841FCE">
        <w:rPr>
          <w:rFonts w:ascii="Times New Roman" w:hAnsi="Times New Roman" w:cs="Times New Roman"/>
          <w:sz w:val="28"/>
          <w:szCs w:val="28"/>
        </w:rPr>
        <w:lastRenderedPageBreak/>
        <w:t>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w:t>
      </w:r>
      <w:bookmarkStart w:id="1" w:name="_GoBack"/>
      <w:bookmarkEnd w:id="1"/>
      <w:r w:rsidRPr="00841FCE">
        <w:rPr>
          <w:rFonts w:ascii="Times New Roman" w:hAnsi="Times New Roman" w:cs="Times New Roman"/>
          <w:sz w:val="28"/>
          <w:szCs w:val="28"/>
        </w:rPr>
        <w:t>дами, в зоне деятельности которого размещаются места (площадки)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18. Раздел "Данные о собственниках мест (площадок) накопления твердых коммунальных отходов" содержит сведения:</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lastRenderedPageBreak/>
        <w:t xml:space="preserve">19. Раздел "Данные об источниках образования твердых коммунальных отходов, которые складируются в местах (на </w:t>
      </w:r>
      <w:proofErr w:type="gramStart"/>
      <w:r w:rsidRPr="00841FCE">
        <w:rPr>
          <w:rFonts w:ascii="Times New Roman" w:hAnsi="Times New Roman" w:cs="Times New Roman"/>
          <w:sz w:val="28"/>
          <w:szCs w:val="28"/>
        </w:rPr>
        <w:t xml:space="preserve">площадках) </w:t>
      </w:r>
      <w:proofErr w:type="gramEnd"/>
      <w:r w:rsidRPr="00841FCE">
        <w:rPr>
          <w:rFonts w:ascii="Times New Roman" w:hAnsi="Times New Roman" w:cs="Times New Roman"/>
          <w:sz w:val="28"/>
          <w:szCs w:val="28"/>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841FCE">
          <w:rPr>
            <w:rStyle w:val="a5"/>
            <w:rFonts w:ascii="Times New Roman" w:hAnsi="Times New Roman" w:cs="Times New Roman"/>
            <w:sz w:val="28"/>
            <w:szCs w:val="28"/>
          </w:rPr>
          <w:t>пунктом 3</w:t>
        </w:r>
      </w:hyperlink>
      <w:r w:rsidRPr="00841FCE">
        <w:rPr>
          <w:rFonts w:ascii="Times New Roman" w:hAnsi="Times New Roman" w:cs="Times New Roman"/>
          <w:sz w:val="28"/>
          <w:szCs w:val="28"/>
        </w:rPr>
        <w:t> настоящих Правил, сведения о таком месте (</w:t>
      </w:r>
      <w:proofErr w:type="gramStart"/>
      <w:r w:rsidRPr="00841FCE">
        <w:rPr>
          <w:rFonts w:ascii="Times New Roman" w:hAnsi="Times New Roman" w:cs="Times New Roman"/>
          <w:sz w:val="28"/>
          <w:szCs w:val="28"/>
        </w:rPr>
        <w:t xml:space="preserve">площадке) </w:t>
      </w:r>
      <w:proofErr w:type="gramEnd"/>
      <w:r w:rsidRPr="00841FCE">
        <w:rPr>
          <w:rFonts w:ascii="Times New Roman" w:hAnsi="Times New Roman" w:cs="Times New Roman"/>
          <w:sz w:val="28"/>
          <w:szCs w:val="28"/>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в) отсутствие согласования уполномоченным органом создания места (площадки)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27. Уполномоченный орган уведомляет заявителя о принятом решении в течение 3 рабочих дней со дня его принятия.</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22" w:history="1">
        <w:r w:rsidRPr="00841FCE">
          <w:rPr>
            <w:rStyle w:val="a5"/>
            <w:rFonts w:ascii="Times New Roman" w:hAnsi="Times New Roman" w:cs="Times New Roman"/>
            <w:sz w:val="28"/>
            <w:szCs w:val="28"/>
          </w:rPr>
          <w:t>пунктами 22 - 27</w:t>
        </w:r>
      </w:hyperlink>
      <w:r w:rsidRPr="00841FCE">
        <w:rPr>
          <w:rFonts w:ascii="Times New Roman" w:hAnsi="Times New Roman" w:cs="Times New Roman"/>
          <w:sz w:val="28"/>
          <w:szCs w:val="28"/>
        </w:rPr>
        <w:t> настоящих Правил.</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 xml:space="preserve">29. </w:t>
      </w:r>
      <w:proofErr w:type="gramStart"/>
      <w:r w:rsidRPr="00841FCE">
        <w:rPr>
          <w:rFonts w:ascii="Times New Roman" w:hAnsi="Times New Roman" w:cs="Times New Roman"/>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841FCE" w:rsidRPr="00841FCE" w:rsidRDefault="00841FCE" w:rsidP="00841FCE">
      <w:pPr>
        <w:rPr>
          <w:rFonts w:ascii="Times New Roman" w:hAnsi="Times New Roman" w:cs="Times New Roman"/>
          <w:b/>
          <w:bCs/>
          <w:sz w:val="28"/>
          <w:szCs w:val="28"/>
        </w:rPr>
      </w:pPr>
      <w:bookmarkStart w:id="2" w:name="review"/>
      <w:bookmarkEnd w:id="2"/>
      <w:r w:rsidRPr="00841FCE">
        <w:rPr>
          <w:rFonts w:ascii="Times New Roman" w:hAnsi="Times New Roman" w:cs="Times New Roman"/>
          <w:b/>
          <w:bCs/>
          <w:sz w:val="28"/>
          <w:szCs w:val="28"/>
        </w:rPr>
        <w:t>Обзор документа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pict>
          <v:rect id="_x0000_i1025" style="width:0;height:.75pt" o:hrstd="t" o:hrnoshade="t" o:hr="t" fillcolor="black" stroked="f"/>
        </w:pic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Регламентирован порядок создания мест (площадок) накопления твердых коммунальных отходов.</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 муниципального образования и требованиями санитарно-эпидемиологического и иного законодательства.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lastRenderedPageBreak/>
        <w:t>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сайте органа местного самоуправления. Бесплатно ознакомиться с ними могут любые лица.</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t>Постановление вступает в силу с 1 января 2019 г. Региональным властям рекомендовано привести свои акты в соответствие с ним до 1 января 2020 г.</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b/>
          <w:bCs/>
          <w:i/>
          <w:iCs/>
          <w:sz w:val="28"/>
          <w:szCs w:val="28"/>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841FCE">
        <w:rPr>
          <w:rFonts w:ascii="Times New Roman" w:hAnsi="Times New Roman" w:cs="Times New Roman"/>
          <w:b/>
          <w:bCs/>
          <w:i/>
          <w:iCs/>
          <w:sz w:val="28"/>
          <w:szCs w:val="28"/>
        </w:rPr>
        <w:t>Интернет-версии</w:t>
      </w:r>
      <w:proofErr w:type="gramEnd"/>
      <w:r w:rsidRPr="00841FCE">
        <w:rPr>
          <w:rFonts w:ascii="Times New Roman" w:hAnsi="Times New Roman" w:cs="Times New Roman"/>
          <w:b/>
          <w:bCs/>
          <w:i/>
          <w:iCs/>
          <w:sz w:val="28"/>
          <w:szCs w:val="28"/>
        </w:rPr>
        <w:t xml:space="preserve"> системы ГАРАНТ:</w:t>
      </w:r>
    </w:p>
    <w:p w:rsidR="00841FCE" w:rsidRPr="00841FCE" w:rsidRDefault="00841FCE" w:rsidP="00841FCE">
      <w:pPr>
        <w:rPr>
          <w:rFonts w:ascii="Times New Roman" w:hAnsi="Times New Roman" w:cs="Times New Roman"/>
          <w:vanish/>
          <w:sz w:val="28"/>
          <w:szCs w:val="28"/>
        </w:rPr>
      </w:pPr>
      <w:r w:rsidRPr="00841FCE">
        <w:rPr>
          <w:rFonts w:ascii="Times New Roman" w:hAnsi="Times New Roman" w:cs="Times New Roman"/>
          <w:vanish/>
          <w:sz w:val="28"/>
          <w:szCs w:val="28"/>
        </w:rPr>
        <w:t>Начало формы</w:t>
      </w:r>
    </w:p>
    <w:p w:rsidR="00841FCE"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11" o:title=""/>
          </v:shape>
          <w:control r:id="rId12" w:name="DefaultOcxName" w:shapeid="_x0000_i1029"/>
        </w:object>
      </w:r>
    </w:p>
    <w:p w:rsidR="00841FCE" w:rsidRPr="00841FCE" w:rsidRDefault="00841FCE" w:rsidP="00841FCE">
      <w:pPr>
        <w:rPr>
          <w:rFonts w:ascii="Times New Roman" w:hAnsi="Times New Roman" w:cs="Times New Roman"/>
          <w:vanish/>
          <w:sz w:val="28"/>
          <w:szCs w:val="28"/>
        </w:rPr>
      </w:pPr>
      <w:r w:rsidRPr="00841FCE">
        <w:rPr>
          <w:rFonts w:ascii="Times New Roman" w:hAnsi="Times New Roman" w:cs="Times New Roman"/>
          <w:vanish/>
          <w:sz w:val="28"/>
          <w:szCs w:val="28"/>
        </w:rPr>
        <w:t>Конец формы</w:t>
      </w:r>
    </w:p>
    <w:p w:rsidR="007F6ADA" w:rsidRPr="00841FCE" w:rsidRDefault="00841FCE" w:rsidP="00841FCE">
      <w:pPr>
        <w:rPr>
          <w:rFonts w:ascii="Times New Roman" w:hAnsi="Times New Roman" w:cs="Times New Roman"/>
          <w:sz w:val="28"/>
          <w:szCs w:val="28"/>
        </w:rPr>
      </w:pPr>
      <w:r w:rsidRPr="00841FCE">
        <w:rPr>
          <w:rFonts w:ascii="Times New Roman" w:hAnsi="Times New Roman" w:cs="Times New Roman"/>
          <w:sz w:val="28"/>
          <w:szCs w:val="28"/>
        </w:rPr>
        <w:br/>
      </w:r>
      <w:r w:rsidRPr="00841FCE">
        <w:rPr>
          <w:rFonts w:ascii="Times New Roman" w:hAnsi="Times New Roman" w:cs="Times New Roman"/>
          <w:sz w:val="28"/>
          <w:szCs w:val="28"/>
        </w:rPr>
        <w:br/>
        <w:t>ГАРАНТ</w:t>
      </w:r>
      <w:proofErr w:type="gramStart"/>
      <w:r w:rsidRPr="00841FCE">
        <w:rPr>
          <w:rFonts w:ascii="Times New Roman" w:hAnsi="Times New Roman" w:cs="Times New Roman"/>
          <w:sz w:val="28"/>
          <w:szCs w:val="28"/>
        </w:rPr>
        <w:t>.Р</w:t>
      </w:r>
      <w:proofErr w:type="gramEnd"/>
      <w:r w:rsidRPr="00841FCE">
        <w:rPr>
          <w:rFonts w:ascii="Times New Roman" w:hAnsi="Times New Roman" w:cs="Times New Roman"/>
          <w:sz w:val="28"/>
          <w:szCs w:val="28"/>
        </w:rPr>
        <w:t>У: </w:t>
      </w:r>
      <w:hyperlink r:id="rId13" w:anchor="ixzz5W9WkQdTU" w:history="1">
        <w:r w:rsidRPr="00841FCE">
          <w:rPr>
            <w:rStyle w:val="a5"/>
            <w:rFonts w:ascii="Times New Roman" w:hAnsi="Times New Roman" w:cs="Times New Roman"/>
            <w:sz w:val="28"/>
            <w:szCs w:val="28"/>
          </w:rPr>
          <w:t>http://www.garant.ru/products/ipo/prime/doc/71936220/#ixzz5W9WkQdTU</w:t>
        </w:r>
      </w:hyperlink>
    </w:p>
    <w:sectPr w:rsidR="007F6ADA" w:rsidRPr="0084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60"/>
    <w:rsid w:val="002A4480"/>
    <w:rsid w:val="00381E60"/>
    <w:rsid w:val="003D4BF6"/>
    <w:rsid w:val="0061294A"/>
    <w:rsid w:val="007F6ADA"/>
    <w:rsid w:val="00841FCE"/>
    <w:rsid w:val="00C4279D"/>
    <w:rsid w:val="00C4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79D"/>
    <w:rPr>
      <w:rFonts w:ascii="Tahoma" w:hAnsi="Tahoma" w:cs="Tahoma"/>
      <w:sz w:val="16"/>
      <w:szCs w:val="16"/>
    </w:rPr>
  </w:style>
  <w:style w:type="character" w:styleId="a5">
    <w:name w:val="Hyperlink"/>
    <w:basedOn w:val="a0"/>
    <w:uiPriority w:val="99"/>
    <w:unhideWhenUsed/>
    <w:rsid w:val="00841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79D"/>
    <w:rPr>
      <w:rFonts w:ascii="Tahoma" w:hAnsi="Tahoma" w:cs="Tahoma"/>
      <w:sz w:val="16"/>
      <w:szCs w:val="16"/>
    </w:rPr>
  </w:style>
  <w:style w:type="character" w:styleId="a5">
    <w:name w:val="Hyperlink"/>
    <w:basedOn w:val="a0"/>
    <w:uiPriority w:val="99"/>
    <w:unhideWhenUsed/>
    <w:rsid w:val="00841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2530">
      <w:bodyDiv w:val="1"/>
      <w:marLeft w:val="0"/>
      <w:marRight w:val="0"/>
      <w:marTop w:val="0"/>
      <w:marBottom w:val="0"/>
      <w:divBdr>
        <w:top w:val="none" w:sz="0" w:space="0" w:color="auto"/>
        <w:left w:val="none" w:sz="0" w:space="0" w:color="auto"/>
        <w:bottom w:val="none" w:sz="0" w:space="0" w:color="auto"/>
        <w:right w:val="none" w:sz="0" w:space="0" w:color="auto"/>
      </w:divBdr>
      <w:divsChild>
        <w:div w:id="940837909">
          <w:marLeft w:val="0"/>
          <w:marRight w:val="0"/>
          <w:marTop w:val="240"/>
          <w:marBottom w:val="240"/>
          <w:divBdr>
            <w:top w:val="none" w:sz="0" w:space="0" w:color="auto"/>
            <w:left w:val="none" w:sz="0" w:space="0" w:color="auto"/>
            <w:bottom w:val="none" w:sz="0" w:space="0" w:color="auto"/>
            <w:right w:val="none" w:sz="0" w:space="0" w:color="auto"/>
          </w:divBdr>
          <w:divsChild>
            <w:div w:id="1770081907">
              <w:marLeft w:val="0"/>
              <w:marRight w:val="0"/>
              <w:marTop w:val="0"/>
              <w:marBottom w:val="0"/>
              <w:divBdr>
                <w:top w:val="none" w:sz="0" w:space="0" w:color="auto"/>
                <w:left w:val="none" w:sz="0" w:space="0" w:color="auto"/>
                <w:bottom w:val="none" w:sz="0" w:space="0" w:color="auto"/>
                <w:right w:val="none" w:sz="0" w:space="0" w:color="auto"/>
              </w:divBdr>
              <w:divsChild>
                <w:div w:id="10915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4710">
          <w:marLeft w:val="0"/>
          <w:marRight w:val="0"/>
          <w:marTop w:val="240"/>
          <w:marBottom w:val="240"/>
          <w:divBdr>
            <w:top w:val="none" w:sz="0" w:space="0" w:color="auto"/>
            <w:left w:val="none" w:sz="0" w:space="0" w:color="auto"/>
            <w:bottom w:val="none" w:sz="0" w:space="0" w:color="auto"/>
            <w:right w:val="none" w:sz="0" w:space="0" w:color="auto"/>
          </w:divBdr>
          <w:divsChild>
            <w:div w:id="441648983">
              <w:marLeft w:val="0"/>
              <w:marRight w:val="0"/>
              <w:marTop w:val="0"/>
              <w:marBottom w:val="0"/>
              <w:divBdr>
                <w:top w:val="none" w:sz="0" w:space="0" w:color="auto"/>
                <w:left w:val="none" w:sz="0" w:space="0" w:color="auto"/>
                <w:bottom w:val="none" w:sz="0" w:space="0" w:color="auto"/>
                <w:right w:val="none" w:sz="0" w:space="0" w:color="auto"/>
              </w:divBdr>
              <w:divsChild>
                <w:div w:id="753550118">
                  <w:marLeft w:val="0"/>
                  <w:marRight w:val="0"/>
                  <w:marTop w:val="0"/>
                  <w:marBottom w:val="0"/>
                  <w:divBdr>
                    <w:top w:val="none" w:sz="0" w:space="0" w:color="auto"/>
                    <w:left w:val="none" w:sz="0" w:space="0" w:color="auto"/>
                    <w:bottom w:val="none" w:sz="0" w:space="0" w:color="auto"/>
                    <w:right w:val="none" w:sz="0" w:space="0" w:color="auto"/>
                  </w:divBdr>
                  <w:divsChild>
                    <w:div w:id="4567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3913">
      <w:bodyDiv w:val="1"/>
      <w:marLeft w:val="0"/>
      <w:marRight w:val="0"/>
      <w:marTop w:val="0"/>
      <w:marBottom w:val="0"/>
      <w:divBdr>
        <w:top w:val="none" w:sz="0" w:space="0" w:color="auto"/>
        <w:left w:val="none" w:sz="0" w:space="0" w:color="auto"/>
        <w:bottom w:val="none" w:sz="0" w:space="0" w:color="auto"/>
        <w:right w:val="none" w:sz="0" w:space="0" w:color="auto"/>
      </w:divBdr>
      <w:divsChild>
        <w:div w:id="1929460089">
          <w:marLeft w:val="0"/>
          <w:marRight w:val="0"/>
          <w:marTop w:val="240"/>
          <w:marBottom w:val="240"/>
          <w:divBdr>
            <w:top w:val="none" w:sz="0" w:space="0" w:color="auto"/>
            <w:left w:val="none" w:sz="0" w:space="0" w:color="auto"/>
            <w:bottom w:val="none" w:sz="0" w:space="0" w:color="auto"/>
            <w:right w:val="none" w:sz="0" w:space="0" w:color="auto"/>
          </w:divBdr>
          <w:divsChild>
            <w:div w:id="227106912">
              <w:marLeft w:val="0"/>
              <w:marRight w:val="0"/>
              <w:marTop w:val="0"/>
              <w:marBottom w:val="0"/>
              <w:divBdr>
                <w:top w:val="none" w:sz="0" w:space="0" w:color="auto"/>
                <w:left w:val="none" w:sz="0" w:space="0" w:color="auto"/>
                <w:bottom w:val="none" w:sz="0" w:space="0" w:color="auto"/>
                <w:right w:val="none" w:sz="0" w:space="0" w:color="auto"/>
              </w:divBdr>
              <w:divsChild>
                <w:div w:id="342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044">
          <w:marLeft w:val="0"/>
          <w:marRight w:val="0"/>
          <w:marTop w:val="240"/>
          <w:marBottom w:val="240"/>
          <w:divBdr>
            <w:top w:val="none" w:sz="0" w:space="0" w:color="auto"/>
            <w:left w:val="none" w:sz="0" w:space="0" w:color="auto"/>
            <w:bottom w:val="none" w:sz="0" w:space="0" w:color="auto"/>
            <w:right w:val="none" w:sz="0" w:space="0" w:color="auto"/>
          </w:divBdr>
          <w:divsChild>
            <w:div w:id="558977398">
              <w:marLeft w:val="-480"/>
              <w:marRight w:val="0"/>
              <w:marTop w:val="0"/>
              <w:marBottom w:val="0"/>
              <w:divBdr>
                <w:top w:val="none" w:sz="0" w:space="0" w:color="auto"/>
                <w:left w:val="none" w:sz="0" w:space="0" w:color="auto"/>
                <w:bottom w:val="none" w:sz="0" w:space="0" w:color="auto"/>
                <w:right w:val="none" w:sz="0" w:space="0" w:color="auto"/>
              </w:divBdr>
            </w:div>
          </w:divsChild>
        </w:div>
        <w:div w:id="2116899959">
          <w:marLeft w:val="0"/>
          <w:marRight w:val="0"/>
          <w:marTop w:val="240"/>
          <w:marBottom w:val="240"/>
          <w:divBdr>
            <w:top w:val="none" w:sz="0" w:space="0" w:color="auto"/>
            <w:left w:val="none" w:sz="0" w:space="0" w:color="auto"/>
            <w:bottom w:val="none" w:sz="0" w:space="0" w:color="auto"/>
            <w:right w:val="none" w:sz="0" w:space="0" w:color="auto"/>
          </w:divBdr>
          <w:divsChild>
            <w:div w:id="1598444083">
              <w:marLeft w:val="0"/>
              <w:marRight w:val="0"/>
              <w:marTop w:val="0"/>
              <w:marBottom w:val="0"/>
              <w:divBdr>
                <w:top w:val="none" w:sz="0" w:space="0" w:color="auto"/>
                <w:left w:val="none" w:sz="0" w:space="0" w:color="auto"/>
                <w:bottom w:val="none" w:sz="0" w:space="0" w:color="auto"/>
                <w:right w:val="none" w:sz="0" w:space="0" w:color="auto"/>
              </w:divBdr>
              <w:divsChild>
                <w:div w:id="177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2685">
          <w:marLeft w:val="0"/>
          <w:marRight w:val="0"/>
          <w:marTop w:val="240"/>
          <w:marBottom w:val="240"/>
          <w:divBdr>
            <w:top w:val="none" w:sz="0" w:space="0" w:color="auto"/>
            <w:left w:val="none" w:sz="0" w:space="0" w:color="auto"/>
            <w:bottom w:val="none" w:sz="0" w:space="0" w:color="auto"/>
            <w:right w:val="none" w:sz="0" w:space="0" w:color="auto"/>
          </w:divBdr>
        </w:div>
        <w:div w:id="573779604">
          <w:marLeft w:val="0"/>
          <w:marRight w:val="0"/>
          <w:marTop w:val="240"/>
          <w:marBottom w:val="240"/>
          <w:divBdr>
            <w:top w:val="none" w:sz="0" w:space="0" w:color="auto"/>
            <w:left w:val="none" w:sz="0" w:space="0" w:color="auto"/>
            <w:bottom w:val="none" w:sz="0" w:space="0" w:color="auto"/>
            <w:right w:val="none" w:sz="0" w:space="0" w:color="auto"/>
          </w:divBdr>
          <w:divsChild>
            <w:div w:id="900560762">
              <w:marLeft w:val="0"/>
              <w:marRight w:val="0"/>
              <w:marTop w:val="0"/>
              <w:marBottom w:val="0"/>
              <w:divBdr>
                <w:top w:val="none" w:sz="0" w:space="0" w:color="auto"/>
                <w:left w:val="none" w:sz="0" w:space="0" w:color="auto"/>
                <w:bottom w:val="none" w:sz="0" w:space="0" w:color="auto"/>
                <w:right w:val="none" w:sz="0" w:space="0" w:color="auto"/>
              </w:divBdr>
              <w:divsChild>
                <w:div w:id="12490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8609">
          <w:marLeft w:val="0"/>
          <w:marRight w:val="0"/>
          <w:marTop w:val="240"/>
          <w:marBottom w:val="240"/>
          <w:divBdr>
            <w:top w:val="none" w:sz="0" w:space="0" w:color="auto"/>
            <w:left w:val="none" w:sz="0" w:space="0" w:color="auto"/>
            <w:bottom w:val="none" w:sz="0" w:space="0" w:color="auto"/>
            <w:right w:val="none" w:sz="0" w:space="0" w:color="auto"/>
          </w:divBdr>
        </w:div>
        <w:div w:id="310788232">
          <w:marLeft w:val="0"/>
          <w:marRight w:val="0"/>
          <w:marTop w:val="240"/>
          <w:marBottom w:val="240"/>
          <w:divBdr>
            <w:top w:val="none" w:sz="0" w:space="0" w:color="auto"/>
            <w:left w:val="none" w:sz="0" w:space="0" w:color="auto"/>
            <w:bottom w:val="none" w:sz="0" w:space="0" w:color="auto"/>
            <w:right w:val="none" w:sz="0" w:space="0" w:color="auto"/>
          </w:divBdr>
          <w:divsChild>
            <w:div w:id="223835558">
              <w:marLeft w:val="0"/>
              <w:marRight w:val="0"/>
              <w:marTop w:val="0"/>
              <w:marBottom w:val="0"/>
              <w:divBdr>
                <w:top w:val="none" w:sz="0" w:space="0" w:color="auto"/>
                <w:left w:val="none" w:sz="0" w:space="0" w:color="auto"/>
                <w:bottom w:val="none" w:sz="0" w:space="0" w:color="auto"/>
                <w:right w:val="none" w:sz="0" w:space="0" w:color="auto"/>
              </w:divBdr>
              <w:divsChild>
                <w:div w:id="18665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6784">
      <w:bodyDiv w:val="1"/>
      <w:marLeft w:val="0"/>
      <w:marRight w:val="0"/>
      <w:marTop w:val="0"/>
      <w:marBottom w:val="0"/>
      <w:divBdr>
        <w:top w:val="none" w:sz="0" w:space="0" w:color="auto"/>
        <w:left w:val="none" w:sz="0" w:space="0" w:color="auto"/>
        <w:bottom w:val="none" w:sz="0" w:space="0" w:color="auto"/>
        <w:right w:val="none" w:sz="0" w:space="0" w:color="auto"/>
      </w:divBdr>
      <w:divsChild>
        <w:div w:id="508063392">
          <w:marLeft w:val="0"/>
          <w:marRight w:val="0"/>
          <w:marTop w:val="0"/>
          <w:marBottom w:val="180"/>
          <w:divBdr>
            <w:top w:val="none" w:sz="0" w:space="0" w:color="auto"/>
            <w:left w:val="none" w:sz="0" w:space="0" w:color="auto"/>
            <w:bottom w:val="none" w:sz="0" w:space="0" w:color="auto"/>
            <w:right w:val="none" w:sz="0" w:space="0" w:color="auto"/>
          </w:divBdr>
        </w:div>
        <w:div w:id="1208376216">
          <w:marLeft w:val="0"/>
          <w:marRight w:val="0"/>
          <w:marTop w:val="0"/>
          <w:marBottom w:val="450"/>
          <w:divBdr>
            <w:top w:val="none" w:sz="0" w:space="0" w:color="auto"/>
            <w:left w:val="none" w:sz="0" w:space="0" w:color="auto"/>
            <w:bottom w:val="none" w:sz="0" w:space="0" w:color="auto"/>
            <w:right w:val="none" w:sz="0" w:space="0" w:color="auto"/>
          </w:divBdr>
          <w:divsChild>
            <w:div w:id="14139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8039">
      <w:bodyDiv w:val="1"/>
      <w:marLeft w:val="0"/>
      <w:marRight w:val="0"/>
      <w:marTop w:val="0"/>
      <w:marBottom w:val="0"/>
      <w:divBdr>
        <w:top w:val="none" w:sz="0" w:space="0" w:color="auto"/>
        <w:left w:val="none" w:sz="0" w:space="0" w:color="auto"/>
        <w:bottom w:val="none" w:sz="0" w:space="0" w:color="auto"/>
        <w:right w:val="none" w:sz="0" w:space="0" w:color="auto"/>
      </w:divBdr>
      <w:divsChild>
        <w:div w:id="862211462">
          <w:marLeft w:val="0"/>
          <w:marRight w:val="0"/>
          <w:marTop w:val="240"/>
          <w:marBottom w:val="240"/>
          <w:divBdr>
            <w:top w:val="none" w:sz="0" w:space="0" w:color="auto"/>
            <w:left w:val="none" w:sz="0" w:space="0" w:color="auto"/>
            <w:bottom w:val="none" w:sz="0" w:space="0" w:color="auto"/>
            <w:right w:val="none" w:sz="0" w:space="0" w:color="auto"/>
          </w:divBdr>
          <w:divsChild>
            <w:div w:id="1970158397">
              <w:marLeft w:val="0"/>
              <w:marRight w:val="0"/>
              <w:marTop w:val="0"/>
              <w:marBottom w:val="0"/>
              <w:divBdr>
                <w:top w:val="none" w:sz="0" w:space="0" w:color="auto"/>
                <w:left w:val="none" w:sz="0" w:space="0" w:color="auto"/>
                <w:bottom w:val="none" w:sz="0" w:space="0" w:color="auto"/>
                <w:right w:val="none" w:sz="0" w:space="0" w:color="auto"/>
              </w:divBdr>
              <w:divsChild>
                <w:div w:id="6837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574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13"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936220/" TargetMode="External"/><Relationship Id="rId11" Type="http://schemas.openxmlformats.org/officeDocument/2006/relationships/image" Target="media/image1.wmf"/><Relationship Id="rId5" Type="http://schemas.openxmlformats.org/officeDocument/2006/relationships/hyperlink" Target="http://www.garant.ru/products/ipo/prime/doc/71936220/" TargetMode="External"/><Relationship Id="rId15" Type="http://schemas.openxmlformats.org/officeDocument/2006/relationships/theme" Target="theme/theme1.xml"/><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ZK1</dc:creator>
  <cp:keywords/>
  <dc:description/>
  <cp:lastModifiedBy>ZK1</cp:lastModifiedBy>
  <cp:revision>7</cp:revision>
  <dcterms:created xsi:type="dcterms:W3CDTF">2018-10-19T03:50:00Z</dcterms:created>
  <dcterms:modified xsi:type="dcterms:W3CDTF">2018-11-07T07:44:00Z</dcterms:modified>
</cp:coreProperties>
</file>