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C2" w:rsidRPr="001A6592" w:rsidRDefault="007D25C2" w:rsidP="007D25C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92">
        <w:rPr>
          <w:rFonts w:ascii="Times New Roman" w:hAnsi="Times New Roman" w:cs="Times New Roman"/>
          <w:b/>
          <w:sz w:val="28"/>
          <w:szCs w:val="28"/>
        </w:rPr>
        <w:t>Обзорная информация по итогам внешней проверки достоверности годовых отчетов муниципальных образований –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7D25C2" w:rsidRPr="001A6592" w:rsidRDefault="007D25C2" w:rsidP="007D2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МКУ КСП МО «Бичурский район»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592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592"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6592">
        <w:rPr>
          <w:rFonts w:ascii="Times New Roman" w:hAnsi="Times New Roman" w:cs="Times New Roman"/>
          <w:sz w:val="28"/>
          <w:szCs w:val="28"/>
        </w:rPr>
        <w:t xml:space="preserve"> по внешней проверке годовых отчетов</w:t>
      </w:r>
      <w:r w:rsidRPr="001A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592">
        <w:rPr>
          <w:rFonts w:ascii="Times New Roman" w:hAnsi="Times New Roman" w:cs="Times New Roman"/>
          <w:sz w:val="28"/>
          <w:szCs w:val="28"/>
        </w:rPr>
        <w:t>об исполнении бюджета 16 муниципальных образований сельских поселений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5C2" w:rsidRPr="001A6592" w:rsidRDefault="007D25C2" w:rsidP="007D25C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08">
        <w:rPr>
          <w:rFonts w:ascii="Times New Roman" w:hAnsi="Times New Roman" w:cs="Times New Roman"/>
          <w:b/>
          <w:sz w:val="28"/>
          <w:szCs w:val="28"/>
        </w:rPr>
        <w:t>Основание проведения проверки:</w:t>
      </w:r>
      <w:r w:rsidRPr="001A6592">
        <w:rPr>
          <w:rFonts w:ascii="Times New Roman" w:hAnsi="Times New Roman" w:cs="Times New Roman"/>
          <w:sz w:val="28"/>
          <w:szCs w:val="28"/>
        </w:rPr>
        <w:t xml:space="preserve"> статьи 157, 264.4 Бюджетного кодекса Российской Федерации</w:t>
      </w:r>
      <w:r w:rsidRPr="001A65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6592">
        <w:rPr>
          <w:rFonts w:ascii="Times New Roman" w:hAnsi="Times New Roman" w:cs="Times New Roman"/>
          <w:sz w:val="28"/>
          <w:szCs w:val="28"/>
        </w:rPr>
        <w:t>п. 9 ст. 1 Положения о МКУ Контрольно-счётная палата,</w:t>
      </w:r>
      <w:r w:rsidRPr="001A6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592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внешнего муниципального финансового контроля, План работы на 2018 год.</w:t>
      </w:r>
    </w:p>
    <w:p w:rsidR="007D25C2" w:rsidRPr="00705808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808">
        <w:rPr>
          <w:rFonts w:ascii="Times New Roman" w:hAnsi="Times New Roman" w:cs="Times New Roman"/>
          <w:b/>
          <w:sz w:val="28"/>
          <w:szCs w:val="28"/>
        </w:rPr>
        <w:t>Объекты проверки: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Билютайское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Буйское 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Администрация МО-СП Верхне-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Мангиртуйское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Дунда-Киретское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Администрация МО-СП Еланское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Малокуналейское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Новосретенское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Окино-Ключёвское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Администрация МО-СП Петропавловское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Посельское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Среднехарлунское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Топкинское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Администрация МО-СП </w:t>
      </w:r>
      <w:proofErr w:type="spellStart"/>
      <w:r w:rsidRPr="001A6592">
        <w:rPr>
          <w:rFonts w:ascii="Times New Roman" w:hAnsi="Times New Roman" w:cs="Times New Roman"/>
          <w:sz w:val="28"/>
          <w:szCs w:val="28"/>
        </w:rPr>
        <w:t>Шибертуйское</w:t>
      </w:r>
      <w:proofErr w:type="spell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808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1A6592">
        <w:rPr>
          <w:rFonts w:ascii="Times New Roman" w:hAnsi="Times New Roman" w:cs="Times New Roman"/>
          <w:sz w:val="28"/>
          <w:szCs w:val="28"/>
        </w:rPr>
        <w:t xml:space="preserve"> с 01 марта по 01 мая 2018 года.</w:t>
      </w:r>
    </w:p>
    <w:p w:rsidR="007D25C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Годовая бюджетная отчетность об исполнении бюджета МО-СП за 2018 год рассмотрена и проверена МУ финансовое управление Администрации МО «Бичурский район». Согласно протоколам приема бюджетной отчетности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 основном,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нарушени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 установлен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отчетность представлена в полном объеме и в установленные сроки.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Отдельными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ями нарушен срок сдачи отчетности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итогам внешней проверки годовых отчетов за 2018 год МКУ КСП отмечает следующее: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0580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1A659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проверке правильности формирования сводной бюджетной отчётности в части полноты включения в неё всех предусмотренных форм и проверке правильности заполнения показателей бюджетной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отчётности установлены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нарушения Инструкции 191н:</w:t>
      </w:r>
    </w:p>
    <w:p w:rsidR="007D25C2" w:rsidRPr="001A6592" w:rsidRDefault="007D25C2" w:rsidP="007D25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A6592">
        <w:rPr>
          <w:rFonts w:ascii="Times New Roman" w:hAnsi="Times New Roman" w:cs="Times New Roman"/>
          <w:b/>
          <w:sz w:val="28"/>
          <w:szCs w:val="28"/>
        </w:rPr>
        <w:t xml:space="preserve"> нарушение пункта 4</w:t>
      </w:r>
      <w:r w:rsidRPr="001A6592">
        <w:rPr>
          <w:rFonts w:ascii="Times New Roman" w:hAnsi="Times New Roman" w:cs="Times New Roman"/>
          <w:sz w:val="28"/>
          <w:szCs w:val="28"/>
        </w:rPr>
        <w:t xml:space="preserve"> Инструкции 191-н бюджетная отчетность представлена без сопроводительного п</w:t>
      </w:r>
      <w:r>
        <w:rPr>
          <w:rFonts w:ascii="Times New Roman" w:hAnsi="Times New Roman" w:cs="Times New Roman"/>
          <w:sz w:val="28"/>
          <w:szCs w:val="28"/>
        </w:rPr>
        <w:t>исьма.</w:t>
      </w:r>
    </w:p>
    <w:p w:rsidR="007D25C2" w:rsidRPr="001A6592" w:rsidRDefault="007D25C2" w:rsidP="007D25C2">
      <w:pPr>
        <w:tabs>
          <w:tab w:val="left" w:pos="567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нарушение п. 8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дминистрациями сельских поселений в пояснительной записке к бюджетной отчётности ф. 0503160 за отчётный период не отражена информация об отсутствии числовых значений показателей, предусмотренных формами: 0503162, 0503166, 0503167, 0503171, 0503172, 0503174, 0503175,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0503296.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1A65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- </w:t>
      </w:r>
      <w:r w:rsidRPr="001A6592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В</w:t>
      </w:r>
      <w:r w:rsidRPr="001A6592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 нарушение п. 155: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∙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составе пояснительной записки отсутствует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аблица 3 «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Сведения об исполнении текстовых статей закона (решения) о </w:t>
      </w:r>
      <w:commentRangeStart w:id="0"/>
      <w:r w:rsidRPr="001A6592">
        <w:rPr>
          <w:rFonts w:ascii="Times New Roman" w:eastAsia="Calibri" w:hAnsi="Times New Roman" w:cs="Times New Roman"/>
          <w:sz w:val="28"/>
          <w:szCs w:val="28"/>
        </w:rPr>
        <w:t>бюджете</w:t>
      </w:r>
      <w:commentRangeEnd w:id="0"/>
      <w:r w:rsidRPr="001A6592">
        <w:rPr>
          <w:rStyle w:val="a3"/>
          <w:sz w:val="28"/>
          <w:szCs w:val="28"/>
        </w:rPr>
        <w:commentReference w:id="0"/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∙ </w:t>
      </w:r>
      <w:r w:rsidRPr="001A6592">
        <w:rPr>
          <w:rFonts w:ascii="Times New Roman" w:eastAsia="Calibri" w:hAnsi="Times New Roman" w:cs="Times New Roman"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аблице 3 </w:t>
      </w:r>
      <w:r w:rsidRPr="001A6592">
        <w:rPr>
          <w:rFonts w:ascii="Times New Roman" w:eastAsia="Calibri" w:hAnsi="Times New Roman" w:cs="Times New Roman"/>
          <w:sz w:val="28"/>
          <w:szCs w:val="28"/>
        </w:rPr>
        <w:t>по графе 2 результат исполнения положений текстовых статей (с указанием показателей, характеризующих степень их результативности) указан не по всем текстовым статьям решения о бюджете.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157: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в составе пояснительной записки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годовых отчетов некоторых сельских поселений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не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6592">
        <w:rPr>
          <w:rFonts w:ascii="Times New Roman" w:eastAsia="Calibri" w:hAnsi="Times New Roman" w:cs="Times New Roman"/>
          <w:sz w:val="28"/>
          <w:szCs w:val="28"/>
        </w:rPr>
        <w:t>аблица 5 «Сведения о результатах мероприятий внутреннего государственного (муниц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ипального) финансового контроля;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представленная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6592">
        <w:rPr>
          <w:rFonts w:ascii="Times New Roman" w:eastAsia="Calibri" w:hAnsi="Times New Roman" w:cs="Times New Roman"/>
          <w:sz w:val="28"/>
          <w:szCs w:val="28"/>
        </w:rPr>
        <w:t>аблица 5 «Сведения о результатах мероприятий внутреннего государственного (муниципального) финансового контроля"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форме и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содержанию не соответствует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требованиям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пункта 157.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158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в составе Пояснительной записки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представлена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аблица 6 «Сведения о проведении инвентаризаций». В текстовой части пояснительной записки указано, что по результатам инвентаризации отклонений не установлено.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огласно п. 158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нструкции 191н,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1A6592">
        <w:rPr>
          <w:rFonts w:ascii="Times New Roman" w:eastAsia="Calibri" w:hAnsi="Times New Roman" w:cs="Times New Roman"/>
          <w:sz w:val="28"/>
          <w:szCs w:val="28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</w:t>
      </w:r>
      <w:r>
        <w:rPr>
          <w:rFonts w:ascii="Times New Roman" w:eastAsia="Calibri" w:hAnsi="Times New Roman" w:cs="Times New Roman"/>
          <w:sz w:val="28"/>
          <w:szCs w:val="28"/>
        </w:rPr>
        <w:t>, данная таблица не заполняется.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159:</w:t>
      </w:r>
    </w:p>
    <w:p w:rsidR="007D25C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в составе пояснительной записки не представлена таблица 7 «Сведения о результатах внешнего государственного (муниципального) контроля»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∙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аблице 7 «Сведения о результатах внешнего государственного (муниципального) финансового контроля"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графе 4 не раскрыта кратк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информация о результатах проведения проверки со ссылко</w:t>
      </w:r>
      <w:r>
        <w:rPr>
          <w:rFonts w:ascii="Times New Roman" w:eastAsia="Calibri" w:hAnsi="Times New Roman" w:cs="Times New Roman"/>
          <w:sz w:val="28"/>
          <w:szCs w:val="28"/>
        </w:rPr>
        <w:t>й на номер и дату акта проверки;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∙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аблице 7 по графе 5 не указаны меры, принятые администрацией по устранению выявленных в ходе проверки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нарушений.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-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нарушение п. 160:</w:t>
      </w:r>
    </w:p>
    <w:p w:rsidR="007D25C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∙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ф. 0503161 </w:t>
      </w:r>
      <w:r w:rsidRPr="001A6592">
        <w:rPr>
          <w:rFonts w:ascii="Times New Roman" w:eastAsia="Calibri" w:hAnsi="Times New Roman" w:cs="Times New Roman"/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соответствует форме, утвержденной Инструкцией.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графе 1 отражены коды раздела по классификации расходов бюджета, согласно Инструкции 191н в данной графе указывается тип учреждения, участник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бюджетного процесса;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∙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ф. 0503161  количество учреждений одновременно указано на начало и на конец отчётного периода по кодам строк 010,030.  Фактически главным распорядителем бюджетных средств является орган власти, следовательно, </w:t>
      </w:r>
      <w:r w:rsidRPr="001A6592">
        <w:rPr>
          <w:rFonts w:ascii="Times New Roman" w:eastAsia="Calibri" w:hAnsi="Times New Roman" w:cs="Times New Roman"/>
          <w:sz w:val="28"/>
          <w:szCs w:val="28"/>
        </w:rPr>
        <w:lastRenderedPageBreak/>
        <w:t>показатель «количество учреждений» должен о</w:t>
      </w:r>
      <w:r>
        <w:rPr>
          <w:rFonts w:ascii="Times New Roman" w:eastAsia="Calibri" w:hAnsi="Times New Roman" w:cs="Times New Roman"/>
          <w:sz w:val="28"/>
          <w:szCs w:val="28"/>
        </w:rPr>
        <w:t>тражаться по коду строк 050,051.</w:t>
      </w:r>
    </w:p>
    <w:p w:rsidR="007D25C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161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Администрацией МО-СП </w:t>
      </w:r>
      <w:proofErr w:type="gramStart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представлена</w:t>
      </w:r>
      <w:proofErr w:type="gramEnd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ф. 0503162«Сведения 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результатах деятельности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». Согласно п. 161 </w:t>
      </w:r>
      <w:r w:rsidRPr="001A6592">
        <w:rPr>
          <w:rFonts w:ascii="Times New Roman" w:eastAsia="Calibri" w:hAnsi="Times New Roman" w:cs="Times New Roman"/>
          <w:sz w:val="28"/>
          <w:szCs w:val="28"/>
        </w:rPr>
        <w:t>информация в приложении содержит данные о результатах деятельности субъекта бюджетной отчетности при исполнении им муниципального задания. Так как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нет такого учреждения, данн</w:t>
      </w:r>
      <w:r>
        <w:rPr>
          <w:rFonts w:ascii="Times New Roman" w:eastAsia="Calibri" w:hAnsi="Times New Roman" w:cs="Times New Roman"/>
          <w:sz w:val="28"/>
          <w:szCs w:val="28"/>
        </w:rPr>
        <w:t>ую форму не следовало заполнять.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162: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∙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ф. 0503163 «Сведения об изменениях бюджетной росписи главного распорядителя бюджетных средств» </w:t>
      </w:r>
      <w:proofErr w:type="gramStart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заполнена</w:t>
      </w:r>
      <w:proofErr w:type="gramEnd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некорректно.  В графе 1 </w:t>
      </w:r>
      <w:r w:rsidRPr="001A6592">
        <w:rPr>
          <w:rFonts w:ascii="Times New Roman" w:eastAsia="Calibri" w:hAnsi="Times New Roman" w:cs="Times New Roman"/>
          <w:sz w:val="28"/>
          <w:szCs w:val="28"/>
        </w:rPr>
        <w:t>указываются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только те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коды главы по БК, разделов, подразделов расходов бюджетов, коды групп, подгрупп, статей, видов источников финансирования дефицита бюджета, по бюджетной классификации Российской Федерации, по которым в отчетном п</w:t>
      </w:r>
      <w:r>
        <w:rPr>
          <w:rFonts w:ascii="Times New Roman" w:eastAsia="Calibri" w:hAnsi="Times New Roman" w:cs="Times New Roman"/>
          <w:sz w:val="28"/>
          <w:szCs w:val="28"/>
        </w:rPr>
        <w:t>ериоде осуществлялись изменения с указанием причин изменений в бюджетные назначения;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ф. 0503163 по графе 1 не указаны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Pr="001A6592">
        <w:rPr>
          <w:rFonts w:ascii="Times New Roman" w:eastAsia="Calibri" w:hAnsi="Times New Roman" w:cs="Times New Roman"/>
          <w:sz w:val="28"/>
          <w:szCs w:val="28"/>
        </w:rPr>
        <w:t>коды групп, подгрупп, статей, видов источников финансирования дефицита бюджета по бюджетной классификации РФ, по которым в отчётном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осуществлялись изменения;</w:t>
      </w:r>
    </w:p>
    <w:p w:rsidR="007D25C2" w:rsidRPr="001A6592" w:rsidRDefault="007D25C2" w:rsidP="007D25C2">
      <w:pPr>
        <w:pStyle w:val="Style4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1A6592">
        <w:rPr>
          <w:rFonts w:eastAsia="Calibri"/>
          <w:b/>
          <w:sz w:val="28"/>
          <w:szCs w:val="28"/>
        </w:rPr>
        <w:t>∙</w:t>
      </w:r>
      <w:r w:rsidRPr="001A6592">
        <w:rPr>
          <w:rFonts w:eastAsia="Calibri"/>
          <w:sz w:val="28"/>
          <w:szCs w:val="28"/>
        </w:rPr>
        <w:t xml:space="preserve"> ф. </w:t>
      </w:r>
      <w:r w:rsidRPr="001A6592">
        <w:rPr>
          <w:sz w:val="28"/>
          <w:szCs w:val="28"/>
        </w:rPr>
        <w:t xml:space="preserve">0503163 </w:t>
      </w:r>
      <w:r>
        <w:rPr>
          <w:sz w:val="28"/>
          <w:szCs w:val="28"/>
        </w:rPr>
        <w:t xml:space="preserve">в </w:t>
      </w:r>
      <w:r w:rsidRPr="001A6592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1A659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1A6592">
        <w:rPr>
          <w:sz w:val="28"/>
          <w:szCs w:val="28"/>
        </w:rPr>
        <w:t>утверждённые бюджетные назначения не соответствуют утверждённой бюджетной росписи с учётом внесённых в</w:t>
      </w:r>
      <w:r>
        <w:rPr>
          <w:sz w:val="28"/>
          <w:szCs w:val="28"/>
        </w:rPr>
        <w:t xml:space="preserve"> неё изменений на отчётную дату;</w:t>
      </w:r>
      <w:r w:rsidRPr="001A6592">
        <w:rPr>
          <w:sz w:val="28"/>
          <w:szCs w:val="28"/>
        </w:rPr>
        <w:t xml:space="preserve"> 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b/>
          <w:sz w:val="28"/>
          <w:szCs w:val="28"/>
        </w:rPr>
        <w:t>∙</w:t>
      </w:r>
      <w:r w:rsidRPr="001A6592">
        <w:rPr>
          <w:sz w:val="28"/>
          <w:szCs w:val="28"/>
        </w:rPr>
        <w:t xml:space="preserve"> </w:t>
      </w:r>
      <w:r w:rsidRPr="00E76502">
        <w:rPr>
          <w:rFonts w:ascii="Times New Roman" w:hAnsi="Times New Roman" w:cs="Times New Roman"/>
          <w:sz w:val="28"/>
          <w:szCs w:val="28"/>
        </w:rPr>
        <w:t>отдельными сельскими поселениями</w:t>
      </w:r>
      <w:r>
        <w:rPr>
          <w:sz w:val="28"/>
          <w:szCs w:val="28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ф. 0503163 «Сведения об изменениях бюджетной росписи главного распорядителя бюджетных средств, главного администратора исто</w:t>
      </w:r>
      <w:r>
        <w:rPr>
          <w:rFonts w:ascii="Times New Roman" w:eastAsia="Calibri" w:hAnsi="Times New Roman" w:cs="Times New Roman"/>
          <w:sz w:val="28"/>
          <w:szCs w:val="28"/>
        </w:rPr>
        <w:t>чников финансирования дефицита».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163: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ф. 0503164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«Сведения об исполнении бюджета»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в разделе «Расходы бюджета» графы 8,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</w:rPr>
        <w:t>9 не содержат код причины отклонений по расходам от доведённого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планового процента исполнения, в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графе 9 не перечислены причины отклонений;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 0503164 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заполнена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всем кодам бюджетной классификации по дохам, расходам. Согласно п. 163 в данной форме должны отражаться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коды бюджетной классификации, по которым в результате исполн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ения бюджета имеются отклонения;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∙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</w:rPr>
        <w:t>ф. 0503164 не заполнен раздел «Источники финансирования дефицита бюджета».</w:t>
      </w:r>
    </w:p>
    <w:p w:rsidR="007D25C2" w:rsidRPr="00C936F3" w:rsidRDefault="007D25C2" w:rsidP="007D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п. 164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представлена </w:t>
      </w:r>
      <w:r w:rsidRPr="001A6592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орма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6F3">
        <w:rPr>
          <w:rFonts w:ascii="Times New Roman" w:eastAsia="Calibri" w:hAnsi="Times New Roman" w:cs="Times New Roman"/>
          <w:sz w:val="28"/>
          <w:szCs w:val="28"/>
        </w:rPr>
        <w:t>05013166 «</w:t>
      </w:r>
      <w:r w:rsidRPr="00C936F3">
        <w:rPr>
          <w:rFonts w:ascii="Times New Roman" w:hAnsi="Times New Roman" w:cs="Times New Roman"/>
          <w:bCs/>
          <w:sz w:val="28"/>
          <w:szCs w:val="28"/>
        </w:rPr>
        <w:t xml:space="preserve">Сведения об исполнении мероприятий в рамках целевых программ». </w:t>
      </w:r>
      <w:r w:rsidRPr="00C42B1F">
        <w:rPr>
          <w:rFonts w:ascii="Times New Roman" w:hAnsi="Times New Roman" w:cs="Times New Roman"/>
          <w:bCs/>
          <w:sz w:val="28"/>
          <w:szCs w:val="28"/>
        </w:rPr>
        <w:t>В</w:t>
      </w:r>
      <w:r w:rsidRPr="00C42B1F">
        <w:rPr>
          <w:rFonts w:ascii="Times New Roman" w:eastAsia="Calibri" w:hAnsi="Times New Roman" w:cs="Times New Roman"/>
          <w:sz w:val="28"/>
          <w:szCs w:val="28"/>
        </w:rPr>
        <w:t xml:space="preserve"> графе 1 не указано наименование федеральной целевой программы подпрограмма. По графе 3 не перечислены мероприятия, обеспечивающие реализацию программы.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Pr="001A659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связи со вступившими с 01.01.2018 Федеральными стандартами бухгалтерского учёта в МО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-СП произошли изменения валюты баланса, которые должны были отражены в форме 0503173 «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Сведения об изменении остатков </w:t>
      </w:r>
      <w:r w:rsidRPr="001A6592">
        <w:rPr>
          <w:rFonts w:ascii="Times New Roman" w:eastAsia="Calibri" w:hAnsi="Times New Roman" w:cs="Times New Roman"/>
          <w:sz w:val="28"/>
          <w:szCs w:val="28"/>
        </w:rPr>
        <w:lastRenderedPageBreak/>
        <w:t>валюты баланса»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>В нарушение п. 170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составе годовой отчётности не 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 0503173 «Сведения об изменении остатков валюты баланса».</w:t>
      </w:r>
    </w:p>
    <w:p w:rsidR="007D25C2" w:rsidRPr="001A6592" w:rsidRDefault="007D25C2" w:rsidP="007D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ngXian" w:hAnsi="Times New Roman" w:cs="Times New Roman"/>
          <w:sz w:val="28"/>
          <w:szCs w:val="28"/>
          <w:lang w:eastAsia="zh-CN"/>
        </w:rPr>
      </w:pP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составе Пояснительной записки представлена таблица 2 «Сведения о мерах по повышению эффективности расходования бюджетных средств», которая исключена </w:t>
      </w:r>
      <w:r w:rsidRPr="001A6592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Приказом Минфина России от 02.11.2017 № 176-н из раздела 2 "Результаты деятельности субъекта бюджетной отчетности".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152 Инструкции № 191н информацию о мерах по повышению эффективности расходования бюджетных сре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дств сл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едовало отразить в разделе 2 Пояснительной записки в составе иной информации, оказавшей существенное </w:t>
      </w:r>
      <w:r w:rsidRPr="001A6592">
        <w:rPr>
          <w:rFonts w:ascii="Times New Roman" w:eastAsia="DengXian" w:hAnsi="Times New Roman" w:cs="Times New Roman"/>
          <w:sz w:val="28"/>
          <w:szCs w:val="28"/>
          <w:lang w:eastAsia="zh-CN"/>
        </w:rPr>
        <w:t>влияние и характеризующей результаты деятельности субъекта бюджетной отчетности за отчетный период.</w:t>
      </w:r>
    </w:p>
    <w:p w:rsidR="007D25C2" w:rsidRPr="001A6592" w:rsidRDefault="007D25C2" w:rsidP="007D25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</w:rPr>
        <w:t>- В нарушение Приказа Минфина России от 30.11.2018 № 244н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в составе Пояснительной записки</w:t>
      </w:r>
      <w:r w:rsidRPr="001A6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представлена годовая форма 0503177 </w:t>
      </w:r>
      <w:r w:rsidRPr="00C936F3">
        <w:rPr>
          <w:rFonts w:ascii="Times New Roman" w:eastAsia="Calibri" w:hAnsi="Times New Roman" w:cs="Times New Roman"/>
          <w:sz w:val="28"/>
          <w:szCs w:val="28"/>
        </w:rPr>
        <w:t>«</w:t>
      </w:r>
      <w:r w:rsidRPr="00C936F3">
        <w:rPr>
          <w:rFonts w:ascii="Times New Roman" w:hAnsi="Times New Roman" w:cs="Times New Roman"/>
          <w:bCs/>
          <w:sz w:val="28"/>
          <w:szCs w:val="28"/>
        </w:rPr>
        <w:t>Сведения об использовании информационно-коммуникационных технологий»</w:t>
      </w:r>
      <w:r>
        <w:rPr>
          <w:rFonts w:ascii="Times New Roman" w:eastAsia="Calibri" w:hAnsi="Times New Roman" w:cs="Times New Roman"/>
          <w:sz w:val="28"/>
          <w:szCs w:val="28"/>
        </w:rPr>
        <w:t>, которая исключена из состава годовой отчетности с 1.01.2018.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нарушение Приказа Минфина России от 31.12.2015 № 229н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 0503176 «Сведения </w:t>
      </w:r>
      <w:r w:rsidRPr="001A6592">
        <w:rPr>
          <w:rFonts w:ascii="Times New Roman" w:eastAsia="Calibri" w:hAnsi="Times New Roman" w:cs="Times New Roman"/>
          <w:sz w:val="28"/>
          <w:szCs w:val="28"/>
        </w:rPr>
        <w:t>по ущербу имуществу, хищениях денежных средств и материальных ценностей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которая исключена из состава годовой отчетности с 1.01.2016.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2B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контроля взаимосвязанных показателей ф. 0503169 «Сведения по дебиторской и кредиторской задолженности»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регистрами бухгалтерского учета </w:t>
      </w:r>
      <w:proofErr w:type="spellStart"/>
      <w:r w:rsidRPr="001A6592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1A6592">
        <w:rPr>
          <w:rFonts w:ascii="Times New Roman" w:eastAsia="Times New Roman" w:hAnsi="Times New Roman" w:cs="Times New Roman"/>
          <w:sz w:val="28"/>
          <w:szCs w:val="28"/>
        </w:rPr>
        <w:t>-сальдов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выявлены </w:t>
      </w:r>
      <w:proofErr w:type="gramStart"/>
      <w:r w:rsidRPr="001A6592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proofErr w:type="gramEnd"/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по</w:t>
      </w:r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дебиторской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</w:t>
      </w:r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кредиторской задолженност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6592">
        <w:rPr>
          <w:rFonts w:ascii="Times New Roman" w:eastAsia="Times New Roman" w:hAnsi="Times New Roman" w:cs="Times New Roman"/>
          <w:sz w:val="28"/>
          <w:szCs w:val="28"/>
        </w:rPr>
        <w:t xml:space="preserve"> на начало и на конец отчётного периода.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1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A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выборочной проверки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>чётной политики установлено: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в нарушение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от 06.12.2011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402-ФЗ «О бухгалтерском учёте» (в ред. от 28.11.2018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444-ФЗ):</w:t>
      </w:r>
      <w:r w:rsidRPr="001A6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не разработана и не утверждена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6592">
        <w:rPr>
          <w:rFonts w:ascii="Times New Roman" w:hAnsi="Times New Roman" w:cs="Times New Roman"/>
          <w:sz w:val="28"/>
          <w:szCs w:val="28"/>
        </w:rPr>
        <w:t>чётная политика;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 в нарушение приказа Минфина России от 06 октября 2008 года № 106 н «Об утверждении положений по бухгалтерскому учету» не содержит правила документооборота;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содержит ссылки на нормативные акты, утратившие силу;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не утверждён рабочий план счетов, круг ответственных лиц, которые имеют право получать денежные средства под отчёт на производственные нужды.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1F">
        <w:rPr>
          <w:rFonts w:ascii="Times New Roman" w:hAnsi="Times New Roman" w:cs="Times New Roman"/>
          <w:b/>
          <w:sz w:val="28"/>
          <w:szCs w:val="28"/>
        </w:rPr>
        <w:t>4.</w:t>
      </w:r>
      <w:r w:rsidRPr="00C42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592">
        <w:rPr>
          <w:rFonts w:ascii="Times New Roman" w:hAnsi="Times New Roman" w:cs="Times New Roman"/>
          <w:sz w:val="28"/>
          <w:szCs w:val="28"/>
        </w:rPr>
        <w:t xml:space="preserve">При проверке соблюдения сроков, порядка проведения, оформления результатов инвентаризации активов и финансовых обязательств установлено, что в нарушение </w:t>
      </w:r>
      <w:r w:rsidRPr="001A65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ст. 11 Федерального закона от 06.12.2011 № 402-ФЗ «О бухгалтерском учете», п. 7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Приказа Министерства финансов Российской Федерации от 28.12.2010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 (в ред</w:t>
      </w:r>
      <w:proofErr w:type="gramEnd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30.11.2018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244н), </w:t>
      </w:r>
      <w:r w:rsidRPr="001A65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A6592">
        <w:rPr>
          <w:rFonts w:ascii="Times New Roman" w:hAnsi="Times New Roman" w:cs="Times New Roman"/>
          <w:sz w:val="28"/>
          <w:szCs w:val="28"/>
        </w:rPr>
        <w:t xml:space="preserve">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Приказа Министерства финансов Российской Федерации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от 13.06.1995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49 «Об утверждении методических указаний по инвентаризации имущества и финансовых обязательств»,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финансов РФ от 30.03.2015 </w:t>
      </w:r>
      <w:r w:rsidRPr="001A659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52н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</w:t>
      </w:r>
      <w:proofErr w:type="gramEnd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указаний по их применению» 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(с изм. от 17.11.2017 </w:t>
      </w:r>
      <w:r w:rsidRPr="001A659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194н):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>- инвентаризация активов и финансовых обязательств перед составлением годового отчета не проводилась или проведена не в полном объеме (не инвентаризировались обязательства);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592">
        <w:rPr>
          <w:rFonts w:ascii="Times New Roman" w:hAnsi="Times New Roman" w:cs="Times New Roman"/>
          <w:sz w:val="28"/>
          <w:szCs w:val="28"/>
        </w:rPr>
        <w:t xml:space="preserve">- отсутствует приказ руководителя о проведение инвентаризации; </w:t>
      </w:r>
    </w:p>
    <w:p w:rsidR="007D25C2" w:rsidRPr="001A6592" w:rsidRDefault="007D25C2" w:rsidP="007D25C2">
      <w:pPr>
        <w:tabs>
          <w:tab w:val="left" w:pos="567"/>
          <w:tab w:val="left" w:pos="709"/>
        </w:tabs>
        <w:suppressAutoHyphens/>
        <w:spacing w:before="28" w:after="28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592">
        <w:rPr>
          <w:rFonts w:ascii="Times New Roman" w:hAnsi="Times New Roman" w:cs="Times New Roman"/>
          <w:sz w:val="28"/>
          <w:szCs w:val="28"/>
        </w:rPr>
        <w:t>- имеются недостатки при оформлении результатов инвентаризации (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не заполнены графы 8,9 (статус объекта учёта, целевая функция актива) </w:t>
      </w:r>
      <w:r w:rsidRPr="001A659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ф. 0504087 «</w:t>
      </w:r>
      <w:r w:rsidRPr="001A6592">
        <w:rPr>
          <w:rFonts w:ascii="Times New Roman" w:eastAsia="Calibri" w:hAnsi="Times New Roman" w:cs="Times New Roman"/>
          <w:sz w:val="28"/>
          <w:szCs w:val="28"/>
        </w:rPr>
        <w:t>Инвентаризационная опись (сличительная ведомость) по объектам нефинансовых активов».</w:t>
      </w:r>
      <w:proofErr w:type="gram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C42B1F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1A6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ходе </w:t>
      </w:r>
      <w:proofErr w:type="gramStart"/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проверки</w:t>
      </w:r>
      <w:r w:rsidRPr="001A65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Решений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Советов депутатов поселений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 муниципальных образований на 2018 год (окончательные решения) выявлены нарушения Приказа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Министерства финансов Российской Федерации от 08.06.2018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132н «О порядке формирования и применения кодов бюджетной классификации Российской Федерации, их структуре и принципах значения» (далее по тексту Приказ 132н) в Приложениях: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N 14 «Источники финансирования дефицита бюджета» 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верно указано наименование </w:t>
      </w:r>
      <w:proofErr w:type="gramStart"/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>кодов бюджетной классификации источников финансирования дефицита</w:t>
      </w:r>
      <w:proofErr w:type="gramEnd"/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бюджета: 85001050201100000510, 85001050201100000610.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наименования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«Увеличение, уменьшение прочих остатков денежных средств бюджетов поселений»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овало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>«Увеличение, уменьшение прочих остатков денежных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бюджетов сельских поселений»;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N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4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«Налоговые и неналоговые доходы»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наименование кода классификации доходов 113 02995 10 0000 130 «Доходы от компенсации затрат государству» не соответствует наименованию данного кода классификации доходов «Прочие доходы от компенсации затрат бюджетов сельских поселений»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предусмотренному Инструкцией;</w:t>
      </w:r>
    </w:p>
    <w:p w:rsidR="007D25C2" w:rsidRPr="001A6592" w:rsidRDefault="007D25C2" w:rsidP="007D25C2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proofErr w:type="gramStart"/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N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10 «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подразделу 0106 «Обеспечение деятельности финансовых, налоговых и таможенных органов и органов финансового (финансового-бюджетного) надзора не указан вид расхода, следовало указать вид расхода 540 «Иные межбюджетные трансферты».</w:t>
      </w:r>
      <w:proofErr w:type="gram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C96F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ходе проверки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5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проектов решений Совета об исполнении бюджета за 2018 год установлено: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п. 7, 8 ст. 6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Бюджетного кодекса в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текстовой части проекта Решения вместо профицита указан дефицит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наоборот;</w:t>
      </w:r>
    </w:p>
    <w:p w:rsidR="007D25C2" w:rsidRPr="001A6592" w:rsidRDefault="007D25C2" w:rsidP="007D25C2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 нарушение Приказа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132н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1 к проекту Решения об исполнении бюджета не верно указаны наименования кодов бюджетной классификации в части доходов: по коду 1 11 05035 10 0000 120 указано наименование кода «Доходы от сдачи в аренду имущества, находящегося в оперативном управлении органов государственной власти, органов местного самоуправления».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Приказа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132н по данному коду поступают «</w:t>
      </w: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 и автономных учреждений);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риложении </w:t>
      </w:r>
      <w:r w:rsidRPr="001A65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«Исполнение доходной части бюджета» </w:t>
      </w:r>
      <w:proofErr w:type="gramStart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не верно</w:t>
      </w:r>
      <w:proofErr w:type="gramEnd"/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указаны итоговые суммы по утверждённым и исполненным назначениям;</w:t>
      </w: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>- в нарушение п. 4 ст. 264.1, статьи 264.6 Бюджетного кодекса не представлены сведения об исполнении численности муниципальных служащих органов местного самоуправления и фактические расходы на оплату труда за 2018 год;</w:t>
      </w:r>
    </w:p>
    <w:p w:rsidR="007D25C2" w:rsidRPr="001A6592" w:rsidRDefault="007D25C2" w:rsidP="007D25C2">
      <w:pPr>
        <w:pStyle w:val="Style2"/>
        <w:tabs>
          <w:tab w:val="left" w:pos="567"/>
        </w:tabs>
        <w:spacing w:before="7" w:line="240" w:lineRule="auto"/>
        <w:ind w:firstLine="567"/>
        <w:rPr>
          <w:sz w:val="28"/>
          <w:szCs w:val="28"/>
        </w:rPr>
      </w:pPr>
      <w:r w:rsidRPr="001A6592">
        <w:rPr>
          <w:rFonts w:eastAsia="Calibri"/>
          <w:sz w:val="28"/>
          <w:szCs w:val="28"/>
          <w:lang w:eastAsia="en-US"/>
        </w:rPr>
        <w:t xml:space="preserve">- в </w:t>
      </w:r>
      <w:r>
        <w:rPr>
          <w:rFonts w:eastAsia="Calibri"/>
          <w:sz w:val="28"/>
          <w:szCs w:val="28"/>
          <w:lang w:eastAsia="en-US"/>
        </w:rPr>
        <w:t>п</w:t>
      </w:r>
      <w:r w:rsidRPr="001A6592">
        <w:rPr>
          <w:rFonts w:eastAsia="Calibri"/>
          <w:sz w:val="28"/>
          <w:szCs w:val="28"/>
          <w:lang w:eastAsia="en-US"/>
        </w:rPr>
        <w:t xml:space="preserve">риложении </w:t>
      </w:r>
      <w:r w:rsidRPr="001A6592">
        <w:rPr>
          <w:rFonts w:eastAsia="Calibri"/>
          <w:sz w:val="28"/>
          <w:szCs w:val="28"/>
          <w:lang w:val="en-US" w:eastAsia="en-US"/>
        </w:rPr>
        <w:t>N</w:t>
      </w:r>
      <w:r w:rsidRPr="001A6592">
        <w:rPr>
          <w:rFonts w:eastAsia="Calibri"/>
          <w:sz w:val="28"/>
          <w:szCs w:val="28"/>
          <w:lang w:eastAsia="en-US"/>
        </w:rPr>
        <w:t xml:space="preserve"> 6 «</w:t>
      </w:r>
      <w:r w:rsidRPr="001A6592">
        <w:rPr>
          <w:sz w:val="28"/>
          <w:szCs w:val="28"/>
        </w:rPr>
        <w:t>Сведения о численности работников органов местного самоуправления» представлены</w:t>
      </w:r>
      <w:r w:rsidRPr="001A6592">
        <w:rPr>
          <w:rFonts w:eastAsia="Calibri"/>
          <w:sz w:val="28"/>
          <w:szCs w:val="28"/>
          <w:lang w:eastAsia="en-US"/>
        </w:rPr>
        <w:t xml:space="preserve"> в нарушение </w:t>
      </w:r>
      <w:r w:rsidRPr="001A6592">
        <w:rPr>
          <w:sz w:val="28"/>
          <w:szCs w:val="28"/>
        </w:rPr>
        <w:t>п. 6 ст. 52 Федерального закона от 06.10.2003 г. № 131-ФЗ «Об общих принципах организации местного самоуправления в Российской Федерации» (в ред. ФЗ от 29.06.2015 № 187-ФЗ)</w:t>
      </w:r>
      <w:r w:rsidRPr="001A659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A6592">
        <w:rPr>
          <w:sz w:val="28"/>
          <w:szCs w:val="28"/>
        </w:rPr>
        <w:t>Наименование показателя следует указывать «фактические расходы на оплату их труда», а не «фактические затраты на их денежное содержание»;</w:t>
      </w:r>
      <w:proofErr w:type="gram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 w:rsidRPr="001A6592">
        <w:rPr>
          <w:sz w:val="28"/>
          <w:szCs w:val="28"/>
        </w:rPr>
        <w:t xml:space="preserve">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Решениях о бюджете на 2018 год в первоначальном и окончательном вариантах отсутствуют подписи главы сельского поселения.  </w:t>
      </w:r>
      <w:proofErr w:type="gram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9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</w:t>
      </w:r>
      <w:r w:rsidRPr="001A659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1A6592"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годовой отчетности</w:t>
      </w:r>
      <w:r w:rsidRPr="001A6592">
        <w:rPr>
          <w:sz w:val="28"/>
          <w:szCs w:val="28"/>
        </w:rPr>
        <w:t xml:space="preserve"> </w:t>
      </w:r>
      <w:r w:rsidRPr="001A6592">
        <w:rPr>
          <w:rFonts w:ascii="Times New Roman" w:hAnsi="Times New Roman" w:cs="Times New Roman"/>
          <w:sz w:val="28"/>
          <w:szCs w:val="28"/>
        </w:rPr>
        <w:t>за 2018 год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некоторыми сельскими поселениями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представлены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требуемые 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документы: </w:t>
      </w:r>
      <w:r w:rsidRPr="001A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распоряжения Администрации об исполнении обязанностей главы, о принятии на работу главного бухгалтера, о</w:t>
      </w:r>
      <w:r w:rsidRPr="001A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назначении лиц, ответственных за простановку электронной подписи, карточки образцов подписей к лицевым счетам, сводная бюджетная роспись расходов на 2018 год (первоначальная и с изменениями), Положение о бюджетном процессе. </w:t>
      </w:r>
      <w:proofErr w:type="gramEnd"/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7D25C2" w:rsidRPr="001A6592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5C2" w:rsidRPr="007B3B1F" w:rsidRDefault="007D25C2" w:rsidP="007D25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1F">
        <w:rPr>
          <w:rFonts w:ascii="Times New Roman" w:eastAsia="Times New Roman" w:hAnsi="Times New Roman" w:cs="Times New Roman"/>
          <w:sz w:val="28"/>
          <w:szCs w:val="28"/>
        </w:rPr>
        <w:t>Подготовила: инспектор МКУ КСП Артюкова М.Ф.</w:t>
      </w:r>
    </w:p>
    <w:p w:rsidR="007D25C2" w:rsidRPr="007B3B1F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5C2" w:rsidRPr="007B3B1F" w:rsidRDefault="007D25C2" w:rsidP="007D25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D66" w:rsidRDefault="00FC5D66">
      <w:bookmarkStart w:id="1" w:name="_GoBack"/>
      <w:bookmarkEnd w:id="1"/>
    </w:p>
    <w:sectPr w:rsidR="00FC5D66" w:rsidSect="001A6592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9-05-20T05:57:00Z" w:initials="a">
    <w:p w:rsidR="007D25C2" w:rsidRDefault="007D25C2" w:rsidP="007D25C2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93307"/>
      <w:docPartObj>
        <w:docPartGallery w:val="Page Numbers (Bottom of Page)"/>
        <w:docPartUnique/>
      </w:docPartObj>
    </w:sdtPr>
    <w:sdtEndPr/>
    <w:sdtContent>
      <w:p w:rsidR="007B3B1F" w:rsidRDefault="007067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C2">
          <w:rPr>
            <w:noProof/>
          </w:rPr>
          <w:t>1</w:t>
        </w:r>
        <w:r>
          <w:fldChar w:fldCharType="end"/>
        </w:r>
      </w:p>
    </w:sdtContent>
  </w:sdt>
  <w:p w:rsidR="007B3B1F" w:rsidRDefault="0070673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2"/>
    <w:rsid w:val="007D25C2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D25C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D25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25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25C2"/>
    <w:rPr>
      <w:sz w:val="20"/>
      <w:szCs w:val="20"/>
      <w:lang w:eastAsia="ru-RU"/>
    </w:rPr>
  </w:style>
  <w:style w:type="paragraph" w:customStyle="1" w:styleId="Style2">
    <w:name w:val="Style2"/>
    <w:basedOn w:val="a"/>
    <w:rsid w:val="007D25C2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5C2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5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D25C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D25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25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25C2"/>
    <w:rPr>
      <w:sz w:val="20"/>
      <w:szCs w:val="20"/>
      <w:lang w:eastAsia="ru-RU"/>
    </w:rPr>
  </w:style>
  <w:style w:type="paragraph" w:customStyle="1" w:styleId="Style2">
    <w:name w:val="Style2"/>
    <w:basedOn w:val="a"/>
    <w:rsid w:val="007D25C2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5C2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5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2019-05-20T03:25:00Z</dcterms:created>
  <dcterms:modified xsi:type="dcterms:W3CDTF">2019-05-20T03:25:00Z</dcterms:modified>
</cp:coreProperties>
</file>